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ind w:firstLine="0" w:firstLineChars="0"/>
        <w:rPr>
          <w:rFonts w:ascii="宋体" w:hAnsi="宋体"/>
          <w:b/>
          <w:bCs/>
          <w:sz w:val="44"/>
          <w:szCs w:val="48"/>
        </w:rPr>
      </w:pPr>
      <w:bookmarkStart w:id="13" w:name="_GoBack"/>
      <w:bookmarkEnd w:id="13"/>
      <w:bookmarkStart w:id="0" w:name="_Toc338398713"/>
      <w:bookmarkStart w:id="1" w:name="_Toc383776342"/>
      <w:bookmarkStart w:id="2" w:name="_Toc272141464"/>
    </w:p>
    <w:p>
      <w:pPr>
        <w:pStyle w:val="28"/>
        <w:ind w:firstLine="0" w:firstLineChars="0"/>
        <w:jc w:val="center"/>
        <w:rPr>
          <w:rFonts w:ascii="宋体" w:hAnsi="宋体"/>
          <w:b/>
          <w:sz w:val="52"/>
          <w:szCs w:val="52"/>
        </w:rPr>
      </w:pPr>
      <w:r>
        <w:rPr>
          <w:rFonts w:hint="eastAsia" w:ascii="宋体" w:hAnsi="宋体"/>
          <w:b/>
          <w:kern w:val="0"/>
          <w:sz w:val="52"/>
          <w:szCs w:val="52"/>
        </w:rPr>
        <w:t>铜陵市义安区</w:t>
      </w:r>
      <w:r>
        <w:rPr>
          <w:rFonts w:hint="eastAsia" w:ascii="宋体" w:hAnsi="宋体"/>
          <w:b/>
          <w:kern w:val="0"/>
          <w:sz w:val="52"/>
          <w:szCs w:val="52"/>
          <w:lang w:eastAsia="zh-CN"/>
        </w:rPr>
        <w:t>犁</w:t>
      </w:r>
      <w:r>
        <w:rPr>
          <w:rFonts w:hint="eastAsia" w:ascii="宋体" w:hAnsi="宋体"/>
          <w:b/>
          <w:kern w:val="0"/>
          <w:sz w:val="52"/>
          <w:szCs w:val="52"/>
        </w:rPr>
        <w:t>桥水镇--</w:t>
      </w:r>
      <w:r>
        <w:rPr>
          <w:rFonts w:ascii="宋体" w:hAnsi="宋体"/>
          <w:b/>
          <w:sz w:val="52"/>
          <w:szCs w:val="52"/>
        </w:rPr>
        <w:t>明塘艺术文化村水土保持方案报告书</w:t>
      </w:r>
    </w:p>
    <w:p>
      <w:pPr>
        <w:pStyle w:val="28"/>
        <w:ind w:firstLine="0" w:firstLineChars="0"/>
        <w:jc w:val="center"/>
        <w:rPr>
          <w:rFonts w:ascii="宋体" w:hAnsi="宋体"/>
          <w:b/>
          <w:sz w:val="52"/>
          <w:szCs w:val="52"/>
        </w:rPr>
      </w:pPr>
      <w:r>
        <w:rPr>
          <w:rFonts w:ascii="宋体" w:hAnsi="宋体"/>
          <w:b/>
          <w:sz w:val="52"/>
          <w:szCs w:val="52"/>
        </w:rPr>
        <w:t>编制服务项目</w:t>
      </w:r>
    </w:p>
    <w:p>
      <w:pPr>
        <w:pStyle w:val="28"/>
        <w:ind w:firstLine="420"/>
        <w:rPr>
          <w:rFonts w:ascii="宋体" w:hAnsi="宋体"/>
        </w:rPr>
      </w:pPr>
    </w:p>
    <w:p>
      <w:pPr>
        <w:pStyle w:val="28"/>
        <w:ind w:firstLine="420"/>
        <w:rPr>
          <w:rFonts w:ascii="宋体" w:hAnsi="宋体"/>
        </w:rPr>
      </w:pPr>
    </w:p>
    <w:p>
      <w:pPr>
        <w:pStyle w:val="28"/>
        <w:ind w:firstLine="420"/>
        <w:rPr>
          <w:rFonts w:ascii="宋体" w:hAnsi="宋体"/>
        </w:rPr>
      </w:pPr>
    </w:p>
    <w:p>
      <w:pPr>
        <w:pStyle w:val="28"/>
        <w:ind w:firstLine="420"/>
        <w:rPr>
          <w:rFonts w:ascii="宋体" w:hAnsi="宋体"/>
        </w:rPr>
      </w:pPr>
    </w:p>
    <w:p>
      <w:pPr>
        <w:pStyle w:val="28"/>
        <w:ind w:firstLine="420"/>
        <w:rPr>
          <w:rFonts w:ascii="宋体" w:hAnsi="宋体"/>
        </w:rPr>
      </w:pPr>
    </w:p>
    <w:p>
      <w:pPr>
        <w:pStyle w:val="28"/>
        <w:ind w:firstLine="420"/>
        <w:rPr>
          <w:rFonts w:ascii="宋体" w:hAnsi="宋体"/>
        </w:rPr>
      </w:pPr>
    </w:p>
    <w:p>
      <w:pPr>
        <w:pStyle w:val="28"/>
        <w:ind w:firstLine="420"/>
        <w:rPr>
          <w:rFonts w:ascii="宋体" w:hAnsi="宋体"/>
        </w:rPr>
      </w:pPr>
    </w:p>
    <w:p>
      <w:pPr>
        <w:pStyle w:val="28"/>
        <w:ind w:firstLine="420"/>
        <w:rPr>
          <w:rFonts w:ascii="宋体" w:hAnsi="宋体"/>
        </w:rPr>
      </w:pPr>
    </w:p>
    <w:p>
      <w:pPr>
        <w:adjustRightInd w:val="0"/>
        <w:snapToGrid w:val="0"/>
        <w:spacing w:beforeLines="20" w:afterLines="20" w:line="1100" w:lineRule="exact"/>
        <w:jc w:val="center"/>
        <w:rPr>
          <w:rFonts w:ascii="宋体" w:hAnsi="宋体" w:cs="宋体"/>
          <w:b/>
          <w:sz w:val="90"/>
        </w:rPr>
      </w:pPr>
      <w:r>
        <w:rPr>
          <w:rFonts w:hint="eastAsia" w:ascii="宋体" w:hAnsi="宋体" w:cs="宋体"/>
          <w:b/>
          <w:sz w:val="90"/>
        </w:rPr>
        <w:t>招 标 文 件</w:t>
      </w:r>
    </w:p>
    <w:p>
      <w:pPr>
        <w:pStyle w:val="28"/>
        <w:ind w:firstLine="0" w:firstLineChars="0"/>
        <w:rPr>
          <w:rFonts w:ascii="宋体" w:hAnsi="宋体"/>
          <w:b/>
          <w:sz w:val="10"/>
          <w:szCs w:val="10"/>
        </w:rPr>
      </w:pPr>
    </w:p>
    <w:p>
      <w:pPr>
        <w:spacing w:line="540" w:lineRule="exact"/>
        <w:jc w:val="center"/>
        <w:rPr>
          <w:rFonts w:ascii="宋体" w:hAnsi="宋体" w:cs="宋体"/>
          <w:b/>
          <w:bCs/>
          <w:sz w:val="32"/>
        </w:rPr>
      </w:pPr>
      <w:r>
        <w:rPr>
          <w:rFonts w:hint="eastAsia" w:ascii="宋体" w:hAnsi="宋体" w:cs="宋体"/>
          <w:b/>
          <w:bCs/>
          <w:sz w:val="32"/>
        </w:rPr>
        <w:t>项目编号：AHLF-2023-0926</w:t>
      </w:r>
    </w:p>
    <w:p>
      <w:pPr>
        <w:spacing w:line="540" w:lineRule="exact"/>
        <w:jc w:val="center"/>
        <w:rPr>
          <w:rFonts w:ascii="宋体" w:hAnsi="宋体" w:cs="宋体"/>
          <w:b/>
          <w:bCs/>
          <w:sz w:val="32"/>
        </w:rPr>
      </w:pPr>
    </w:p>
    <w:p>
      <w:pPr>
        <w:pStyle w:val="32"/>
        <w:widowControl w:val="0"/>
        <w:adjustRightInd w:val="0"/>
        <w:snapToGrid w:val="0"/>
        <w:spacing w:beforeLines="20" w:afterLines="20" w:line="540" w:lineRule="exact"/>
        <w:jc w:val="both"/>
        <w:rPr>
          <w:rFonts w:hAnsi="宋体" w:cs="宋体"/>
          <w:b w:val="0"/>
          <w:kern w:val="2"/>
        </w:rPr>
      </w:pPr>
    </w:p>
    <w:p>
      <w:pPr>
        <w:pStyle w:val="28"/>
        <w:ind w:firstLine="640"/>
        <w:rPr>
          <w:rFonts w:ascii="宋体" w:hAnsi="宋体"/>
          <w:sz w:val="32"/>
        </w:rPr>
      </w:pPr>
    </w:p>
    <w:p>
      <w:pPr>
        <w:pStyle w:val="28"/>
        <w:ind w:firstLine="640"/>
        <w:rPr>
          <w:rFonts w:ascii="宋体" w:hAnsi="宋体"/>
          <w:sz w:val="32"/>
        </w:rPr>
      </w:pPr>
    </w:p>
    <w:p>
      <w:pPr>
        <w:adjustRightInd w:val="0"/>
        <w:spacing w:beforeLines="20" w:afterLines="20" w:line="360" w:lineRule="auto"/>
        <w:ind w:firstLine="321" w:firstLineChars="100"/>
        <w:rPr>
          <w:rFonts w:ascii="宋体" w:hAnsi="宋体" w:cs="宋体"/>
          <w:b/>
          <w:bCs/>
          <w:sz w:val="32"/>
          <w:szCs w:val="32"/>
          <w:u w:val="single"/>
        </w:rPr>
      </w:pPr>
      <w:r>
        <w:rPr>
          <w:rFonts w:hint="eastAsia" w:ascii="宋体" w:hAnsi="宋体" w:cs="宋体"/>
          <w:b/>
          <w:bCs/>
          <w:sz w:val="32"/>
          <w:szCs w:val="32"/>
        </w:rPr>
        <w:t>招标人：</w:t>
      </w:r>
      <w:r>
        <w:rPr>
          <w:rFonts w:hint="eastAsia" w:ascii="宋体" w:hAnsi="宋体" w:cs="宋体"/>
          <w:b/>
          <w:bCs/>
          <w:sz w:val="32"/>
          <w:szCs w:val="32"/>
          <w:u w:val="single"/>
        </w:rPr>
        <w:t xml:space="preserve">  铜陵犁桥水镇旅游开发有限责任公司           </w:t>
      </w:r>
    </w:p>
    <w:p>
      <w:pPr>
        <w:adjustRightInd w:val="0"/>
        <w:snapToGrid w:val="0"/>
        <w:spacing w:beforeLines="20" w:afterLines="20" w:line="1100" w:lineRule="exact"/>
        <w:ind w:firstLine="321" w:firstLineChars="100"/>
        <w:rPr>
          <w:rFonts w:ascii="宋体" w:hAnsi="宋体" w:cs="宋体"/>
          <w:b/>
          <w:bCs/>
          <w:sz w:val="32"/>
          <w:szCs w:val="32"/>
          <w:u w:val="single"/>
        </w:rPr>
      </w:pPr>
      <w:r>
        <w:rPr>
          <w:rFonts w:hint="eastAsia" w:ascii="宋体" w:hAnsi="宋体" w:cs="宋体"/>
          <w:b/>
          <w:bCs/>
          <w:sz w:val="32"/>
          <w:szCs w:val="32"/>
        </w:rPr>
        <w:t>招标代理机构：</w:t>
      </w:r>
      <w:r>
        <w:rPr>
          <w:rFonts w:hint="eastAsia" w:ascii="宋体" w:hAnsi="宋体" w:cs="宋体"/>
          <w:b/>
          <w:bCs/>
          <w:sz w:val="32"/>
          <w:szCs w:val="32"/>
          <w:u w:val="single"/>
        </w:rPr>
        <w:t xml:space="preserve">    安徽龙方工程咨询有限公司       </w:t>
      </w:r>
    </w:p>
    <w:p>
      <w:pPr>
        <w:rPr>
          <w:rFonts w:ascii="宋体" w:hAnsi="宋体" w:cs="宋体"/>
        </w:rPr>
      </w:pPr>
    </w:p>
    <w:p>
      <w:pPr>
        <w:pStyle w:val="12"/>
        <w:adjustRightInd w:val="0"/>
        <w:snapToGrid w:val="0"/>
        <w:spacing w:beforeLines="20" w:afterLines="20" w:line="1100" w:lineRule="exact"/>
        <w:ind w:firstLine="3210" w:firstLineChars="800"/>
        <w:rPr>
          <w:rFonts w:ascii="宋体" w:hAnsi="宋体" w:cs="宋体"/>
          <w:b/>
          <w:bCs/>
          <w:spacing w:val="40"/>
          <w:sz w:val="32"/>
        </w:rPr>
      </w:pPr>
      <w:r>
        <w:rPr>
          <w:rFonts w:hint="eastAsia" w:ascii="宋体" w:hAnsi="宋体" w:cs="宋体"/>
          <w:b/>
          <w:bCs/>
          <w:spacing w:val="40"/>
          <w:sz w:val="32"/>
        </w:rPr>
        <w:t>二〇二三年九月</w:t>
      </w:r>
    </w:p>
    <w:p>
      <w:pPr>
        <w:pStyle w:val="3"/>
        <w:keepNext w:val="0"/>
        <w:keepLines w:val="0"/>
        <w:widowControl/>
        <w:tabs>
          <w:tab w:val="left" w:pos="432"/>
        </w:tabs>
        <w:spacing w:before="0" w:after="0" w:line="240" w:lineRule="auto"/>
        <w:ind w:left="432" w:hanging="432"/>
        <w:jc w:val="center"/>
        <w:textAlignment w:val="baseline"/>
        <w:rPr>
          <w:rFonts w:ascii="宋体" w:hAnsi="宋体" w:cs="宋体"/>
        </w:rPr>
      </w:pPr>
      <w:r>
        <w:rPr>
          <w:rFonts w:hint="eastAsia" w:ascii="宋体" w:hAnsi="宋体" w:cs="宋体"/>
        </w:rPr>
        <w:t>目  录</w:t>
      </w:r>
    </w:p>
    <w:p>
      <w:pPr>
        <w:pStyle w:val="4"/>
        <w:keepNext w:val="0"/>
        <w:keepLines w:val="0"/>
        <w:rPr>
          <w:rFonts w:ascii="宋体" w:hAnsi="宋体" w:eastAsia="宋体" w:cs="宋体"/>
          <w:sz w:val="30"/>
          <w:szCs w:val="30"/>
        </w:rPr>
      </w:pPr>
      <w:r>
        <w:rPr>
          <w:rFonts w:hint="eastAsia" w:ascii="宋体" w:hAnsi="宋体" w:eastAsia="宋体" w:cs="宋体"/>
          <w:sz w:val="30"/>
          <w:szCs w:val="30"/>
        </w:rPr>
        <w:t>上篇    专用部分</w:t>
      </w:r>
    </w:p>
    <w:p>
      <w:pPr>
        <w:pStyle w:val="15"/>
        <w:widowControl/>
        <w:numPr>
          <w:ilvl w:val="0"/>
          <w:numId w:val="1"/>
        </w:numPr>
        <w:tabs>
          <w:tab w:val="left" w:pos="900"/>
          <w:tab w:val="right" w:leader="dot" w:pos="9345"/>
          <w:tab w:val="clear" w:pos="1275"/>
        </w:tabs>
        <w:spacing w:before="120" w:after="120" w:line="360" w:lineRule="auto"/>
        <w:jc w:val="left"/>
        <w:rPr>
          <w:rFonts w:ascii="宋体" w:hAnsi="宋体" w:cs="宋体"/>
          <w:sz w:val="24"/>
        </w:rPr>
      </w:pPr>
      <w:r>
        <w:rPr>
          <w:rFonts w:hint="eastAsia" w:ascii="宋体" w:hAnsi="宋体" w:cs="宋体"/>
          <w:sz w:val="24"/>
        </w:rPr>
        <w:t>招标公告</w:t>
      </w:r>
    </w:p>
    <w:p>
      <w:pPr>
        <w:pStyle w:val="15"/>
        <w:tabs>
          <w:tab w:val="left" w:pos="900"/>
          <w:tab w:val="right" w:leader="dot" w:pos="9345"/>
        </w:tabs>
        <w:spacing w:before="120" w:after="120" w:line="360" w:lineRule="auto"/>
        <w:jc w:val="left"/>
        <w:rPr>
          <w:rFonts w:ascii="宋体" w:hAnsi="宋体" w:cs="宋体"/>
          <w:sz w:val="24"/>
        </w:rPr>
      </w:pPr>
      <w:r>
        <w:rPr>
          <w:rFonts w:hint="eastAsia" w:ascii="宋体" w:hAnsi="宋体" w:cs="宋体"/>
          <w:sz w:val="24"/>
        </w:rPr>
        <w:t>第二章  投标须知前附表</w:t>
      </w:r>
    </w:p>
    <w:p>
      <w:pPr>
        <w:spacing w:line="360" w:lineRule="auto"/>
        <w:rPr>
          <w:rFonts w:ascii="宋体" w:hAnsi="宋体" w:cs="宋体"/>
          <w:sz w:val="24"/>
        </w:rPr>
      </w:pPr>
      <w:r>
        <w:rPr>
          <w:rFonts w:hint="eastAsia" w:ascii="宋体" w:hAnsi="宋体" w:cs="宋体"/>
          <w:sz w:val="24"/>
        </w:rPr>
        <w:t xml:space="preserve">第三章  </w:t>
      </w:r>
    </w:p>
    <w:p>
      <w:pPr>
        <w:pStyle w:val="4"/>
        <w:keepNext w:val="0"/>
        <w:keepLines w:val="0"/>
        <w:rPr>
          <w:rFonts w:ascii="宋体" w:hAnsi="宋体" w:eastAsia="宋体" w:cs="宋体"/>
          <w:sz w:val="30"/>
          <w:szCs w:val="30"/>
        </w:rPr>
      </w:pPr>
      <w:r>
        <w:rPr>
          <w:rFonts w:hint="eastAsia" w:ascii="宋体" w:hAnsi="宋体" w:eastAsia="宋体" w:cs="宋体"/>
          <w:sz w:val="30"/>
          <w:szCs w:val="30"/>
        </w:rPr>
        <w:t>下篇    通用部分</w:t>
      </w:r>
    </w:p>
    <w:p>
      <w:pPr>
        <w:rPr>
          <w:rFonts w:ascii="宋体" w:hAnsi="宋体" w:cs="宋体"/>
          <w:sz w:val="24"/>
        </w:rPr>
      </w:pPr>
      <w:r>
        <w:rPr>
          <w:rFonts w:hint="eastAsia" w:ascii="宋体" w:hAnsi="宋体" w:cs="宋体"/>
          <w:sz w:val="24"/>
        </w:rPr>
        <w:t>第一章  磋商响应供应商须知</w:t>
      </w:r>
    </w:p>
    <w:p>
      <w:pPr>
        <w:spacing w:line="360" w:lineRule="auto"/>
        <w:rPr>
          <w:rFonts w:ascii="宋体" w:hAnsi="宋体" w:cs="宋体"/>
          <w:sz w:val="24"/>
        </w:rPr>
      </w:pPr>
      <w:r>
        <w:rPr>
          <w:rFonts w:hint="eastAsia" w:ascii="宋体" w:hAnsi="宋体" w:cs="宋体"/>
          <w:sz w:val="24"/>
        </w:rPr>
        <w:t>（一）总则</w:t>
      </w:r>
    </w:p>
    <w:p>
      <w:pPr>
        <w:spacing w:line="360" w:lineRule="auto"/>
        <w:rPr>
          <w:rFonts w:ascii="宋体" w:hAnsi="宋体" w:cs="宋体"/>
          <w:sz w:val="24"/>
        </w:rPr>
      </w:pPr>
      <w:r>
        <w:rPr>
          <w:rFonts w:hint="eastAsia" w:ascii="宋体" w:hAnsi="宋体" w:cs="宋体"/>
          <w:sz w:val="24"/>
        </w:rPr>
        <w:t>（二）磋商文件</w:t>
      </w:r>
    </w:p>
    <w:p>
      <w:pPr>
        <w:spacing w:line="360" w:lineRule="auto"/>
        <w:rPr>
          <w:rFonts w:ascii="宋体" w:hAnsi="宋体" w:cs="宋体"/>
          <w:sz w:val="24"/>
        </w:rPr>
      </w:pPr>
      <w:r>
        <w:rPr>
          <w:rFonts w:hint="eastAsia" w:ascii="宋体" w:hAnsi="宋体" w:cs="宋体"/>
          <w:sz w:val="24"/>
        </w:rPr>
        <w:t>（三）供应商</w:t>
      </w:r>
    </w:p>
    <w:p>
      <w:pPr>
        <w:spacing w:line="360" w:lineRule="auto"/>
        <w:rPr>
          <w:rFonts w:ascii="宋体" w:hAnsi="宋体" w:cs="宋体"/>
          <w:sz w:val="24"/>
        </w:rPr>
      </w:pPr>
      <w:r>
        <w:rPr>
          <w:rFonts w:hint="eastAsia" w:ascii="宋体" w:hAnsi="宋体" w:cs="宋体"/>
          <w:sz w:val="24"/>
        </w:rPr>
        <w:t>（四）磋商响应文件的编制</w:t>
      </w:r>
    </w:p>
    <w:p>
      <w:pPr>
        <w:spacing w:line="360" w:lineRule="auto"/>
        <w:rPr>
          <w:rFonts w:ascii="宋体" w:hAnsi="宋体" w:cs="宋体"/>
          <w:sz w:val="24"/>
        </w:rPr>
      </w:pPr>
      <w:r>
        <w:rPr>
          <w:rFonts w:hint="eastAsia" w:ascii="宋体" w:hAnsi="宋体" w:cs="宋体"/>
          <w:sz w:val="24"/>
        </w:rPr>
        <w:t>（五）磋商响应文件的提交</w:t>
      </w:r>
    </w:p>
    <w:p>
      <w:pPr>
        <w:spacing w:line="360" w:lineRule="auto"/>
        <w:rPr>
          <w:rFonts w:ascii="宋体" w:hAnsi="宋体" w:cs="宋体"/>
          <w:sz w:val="24"/>
        </w:rPr>
      </w:pPr>
      <w:r>
        <w:rPr>
          <w:rFonts w:hint="eastAsia" w:ascii="宋体" w:hAnsi="宋体" w:cs="宋体"/>
          <w:sz w:val="24"/>
        </w:rPr>
        <w:t>（六）开标</w:t>
      </w:r>
    </w:p>
    <w:p>
      <w:pPr>
        <w:spacing w:line="360" w:lineRule="auto"/>
        <w:rPr>
          <w:rFonts w:ascii="宋体" w:hAnsi="宋体" w:cs="宋体"/>
          <w:sz w:val="24"/>
        </w:rPr>
      </w:pPr>
      <w:r>
        <w:rPr>
          <w:rFonts w:hint="eastAsia" w:ascii="宋体" w:hAnsi="宋体" w:cs="宋体"/>
          <w:sz w:val="24"/>
        </w:rPr>
        <w:t>（七）评标、定标</w:t>
      </w:r>
    </w:p>
    <w:p>
      <w:pPr>
        <w:spacing w:line="360" w:lineRule="auto"/>
        <w:rPr>
          <w:rFonts w:ascii="宋体" w:hAnsi="宋体" w:cs="宋体"/>
          <w:sz w:val="24"/>
        </w:rPr>
      </w:pPr>
      <w:r>
        <w:rPr>
          <w:rFonts w:hint="eastAsia" w:ascii="宋体" w:hAnsi="宋体" w:cs="宋体"/>
          <w:sz w:val="24"/>
        </w:rPr>
        <w:t>（八）废标</w:t>
      </w:r>
    </w:p>
    <w:p>
      <w:pPr>
        <w:pStyle w:val="2"/>
        <w:ind w:firstLine="0" w:firstLineChars="0"/>
        <w:rPr>
          <w:rFonts w:hAnsi="宋体" w:eastAsia="宋体" w:cs="宋体"/>
          <w:kern w:val="2"/>
          <w:sz w:val="24"/>
          <w:szCs w:val="24"/>
        </w:rPr>
      </w:pPr>
      <w:r>
        <w:rPr>
          <w:rFonts w:hint="eastAsia" w:hAnsi="宋体" w:eastAsia="宋体" w:cs="宋体"/>
          <w:kern w:val="2"/>
          <w:sz w:val="24"/>
          <w:szCs w:val="24"/>
        </w:rPr>
        <w:t>（九）评标办法</w:t>
      </w:r>
    </w:p>
    <w:p>
      <w:pPr>
        <w:spacing w:line="360" w:lineRule="auto"/>
        <w:rPr>
          <w:rFonts w:ascii="宋体" w:hAnsi="宋体" w:cs="宋体"/>
          <w:sz w:val="24"/>
        </w:rPr>
      </w:pPr>
      <w:r>
        <w:rPr>
          <w:rFonts w:hint="eastAsia" w:ascii="宋体" w:hAnsi="宋体" w:cs="宋体"/>
          <w:sz w:val="24"/>
        </w:rPr>
        <w:t>（十）合同的签订、履行及验收</w:t>
      </w:r>
    </w:p>
    <w:p>
      <w:pPr>
        <w:rPr>
          <w:rFonts w:ascii="宋体" w:hAnsi="宋体" w:cs="宋体"/>
          <w:sz w:val="24"/>
        </w:rPr>
      </w:pPr>
      <w:r>
        <w:rPr>
          <w:rFonts w:hint="eastAsia" w:ascii="宋体" w:hAnsi="宋体" w:cs="宋体"/>
          <w:sz w:val="24"/>
        </w:rPr>
        <w:t>第二章：项目需求</w:t>
      </w:r>
    </w:p>
    <w:p>
      <w:pPr>
        <w:adjustRightInd w:val="0"/>
        <w:snapToGrid w:val="0"/>
        <w:spacing w:line="360" w:lineRule="auto"/>
        <w:rPr>
          <w:rFonts w:ascii="宋体" w:hAnsi="宋体" w:cs="宋体"/>
          <w:sz w:val="24"/>
        </w:rPr>
      </w:pPr>
      <w:r>
        <w:rPr>
          <w:rFonts w:hint="eastAsia" w:ascii="宋体" w:hAnsi="宋体" w:cs="宋体"/>
          <w:sz w:val="24"/>
        </w:rPr>
        <w:t>第三章  磋商相应文件格式</w:t>
      </w:r>
    </w:p>
    <w:p>
      <w:pPr>
        <w:spacing w:line="360" w:lineRule="auto"/>
        <w:ind w:firstLine="643" w:firstLineChars="200"/>
        <w:jc w:val="center"/>
        <w:rPr>
          <w:rFonts w:ascii="宋体" w:hAnsi="宋体" w:cs="宋体"/>
          <w:b/>
          <w:bCs/>
          <w:sz w:val="32"/>
          <w:szCs w:val="32"/>
        </w:rPr>
      </w:pPr>
    </w:p>
    <w:p>
      <w:pPr>
        <w:spacing w:line="360" w:lineRule="auto"/>
        <w:ind w:firstLine="643" w:firstLineChars="200"/>
        <w:jc w:val="center"/>
        <w:rPr>
          <w:rFonts w:ascii="宋体" w:hAnsi="宋体" w:cs="宋体"/>
          <w:b/>
          <w:bCs/>
          <w:sz w:val="32"/>
          <w:szCs w:val="32"/>
        </w:rPr>
      </w:pPr>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Pr>
        <w:pStyle w:val="33"/>
        <w:jc w:val="center"/>
        <w:rPr>
          <w:rFonts w:ascii="Times New Roman" w:hAnsi="Times New Roman" w:eastAsia="宋体"/>
          <w:b/>
          <w:bCs/>
          <w:kern w:val="44"/>
          <w:sz w:val="32"/>
          <w:szCs w:val="32"/>
        </w:rPr>
      </w:pPr>
      <w:r>
        <w:rPr>
          <w:rFonts w:hint="eastAsia" w:ascii="Times New Roman" w:hAnsi="Times New Roman" w:eastAsia="宋体"/>
          <w:b/>
          <w:bCs/>
          <w:kern w:val="44"/>
          <w:sz w:val="32"/>
          <w:szCs w:val="32"/>
        </w:rPr>
        <w:t>第一章：招标公告</w:t>
      </w:r>
    </w:p>
    <w:p>
      <w:pPr>
        <w:pStyle w:val="33"/>
        <w:jc w:val="left"/>
        <w:rPr>
          <w:rFonts w:ascii="仿宋" w:hAnsi="仿宋" w:eastAsia="仿宋" w:cs="宋体"/>
          <w:sz w:val="28"/>
          <w:szCs w:val="28"/>
        </w:rPr>
      </w:pPr>
      <w:r>
        <w:rPr>
          <w:rFonts w:hint="eastAsia" w:ascii="仿宋" w:hAnsi="仿宋" w:eastAsia="仿宋"/>
          <w:kern w:val="0"/>
          <w:sz w:val="28"/>
          <w:szCs w:val="28"/>
        </w:rPr>
        <w:t>安徽龙方工程咨询有限公司受</w:t>
      </w:r>
      <w:r>
        <w:rPr>
          <w:rFonts w:hint="eastAsia" w:ascii="仿宋" w:hAnsi="仿宋" w:eastAsia="仿宋" w:cs="宋体"/>
          <w:sz w:val="28"/>
          <w:szCs w:val="28"/>
        </w:rPr>
        <w:t>铜陵犁桥水镇旅游开发有限责任公司</w:t>
      </w:r>
      <w:r>
        <w:rPr>
          <w:rFonts w:hint="eastAsia" w:ascii="仿宋" w:hAnsi="仿宋" w:eastAsia="仿宋"/>
          <w:kern w:val="0"/>
          <w:sz w:val="28"/>
          <w:szCs w:val="28"/>
        </w:rPr>
        <w:t>的委托，现对</w:t>
      </w:r>
      <w:r>
        <w:rPr>
          <w:rFonts w:hint="eastAsia" w:ascii="仿宋" w:hAnsi="仿宋" w:eastAsia="仿宋" w:cs="宋体"/>
          <w:sz w:val="28"/>
          <w:szCs w:val="28"/>
        </w:rPr>
        <w:t>铜陵市义安区梨桥水镇---明塘艺术文化村水土保持方案报告书</w:t>
      </w:r>
      <w:r>
        <w:rPr>
          <w:rFonts w:hint="eastAsia" w:ascii="仿宋" w:hAnsi="仿宋" w:eastAsia="仿宋"/>
          <w:kern w:val="0"/>
          <w:sz w:val="28"/>
          <w:szCs w:val="28"/>
        </w:rPr>
        <w:t>编制</w:t>
      </w:r>
      <w:r>
        <w:rPr>
          <w:rFonts w:ascii="仿宋" w:hAnsi="仿宋" w:eastAsia="仿宋"/>
          <w:kern w:val="0"/>
          <w:sz w:val="28"/>
          <w:szCs w:val="28"/>
        </w:rPr>
        <w:t>服务</w:t>
      </w:r>
      <w:r>
        <w:rPr>
          <w:rFonts w:hint="eastAsia" w:ascii="仿宋" w:hAnsi="仿宋" w:eastAsia="仿宋"/>
          <w:kern w:val="0"/>
          <w:sz w:val="28"/>
          <w:szCs w:val="28"/>
        </w:rPr>
        <w:t>项目进行招标，欢迎具备条件的国内投标人参加招标。</w:t>
      </w:r>
    </w:p>
    <w:p>
      <w:pPr>
        <w:pStyle w:val="33"/>
        <w:rPr>
          <w:rFonts w:ascii="仿宋" w:hAnsi="仿宋" w:eastAsia="仿宋"/>
          <w:kern w:val="0"/>
          <w:sz w:val="28"/>
          <w:szCs w:val="28"/>
        </w:rPr>
      </w:pPr>
      <w:r>
        <w:rPr>
          <w:rFonts w:hint="eastAsia" w:ascii="仿宋" w:hAnsi="仿宋" w:eastAsia="仿宋"/>
          <w:kern w:val="0"/>
          <w:sz w:val="28"/>
          <w:szCs w:val="28"/>
        </w:rPr>
        <w:t>一</w:t>
      </w:r>
      <w:r>
        <w:rPr>
          <w:rFonts w:ascii="仿宋" w:hAnsi="仿宋" w:eastAsia="仿宋"/>
          <w:kern w:val="0"/>
          <w:sz w:val="28"/>
          <w:szCs w:val="28"/>
        </w:rPr>
        <w:t>.招标条件</w:t>
      </w:r>
    </w:p>
    <w:p>
      <w:pPr>
        <w:pStyle w:val="33"/>
        <w:jc w:val="center"/>
        <w:rPr>
          <w:rFonts w:ascii="仿宋" w:hAnsi="仿宋" w:eastAsia="仿宋"/>
          <w:sz w:val="28"/>
          <w:szCs w:val="28"/>
        </w:rPr>
      </w:pPr>
      <w:r>
        <w:rPr>
          <w:rFonts w:ascii="仿宋" w:hAnsi="仿宋" w:eastAsia="仿宋"/>
          <w:sz w:val="28"/>
          <w:szCs w:val="28"/>
        </w:rPr>
        <w:t>1.1 项目名称：</w:t>
      </w:r>
      <w:r>
        <w:rPr>
          <w:rFonts w:hint="eastAsia" w:ascii="仿宋" w:hAnsi="仿宋" w:eastAsia="仿宋"/>
          <w:sz w:val="28"/>
          <w:szCs w:val="28"/>
        </w:rPr>
        <w:t>铜陵市义安区</w:t>
      </w:r>
      <w:r>
        <w:rPr>
          <w:rFonts w:hint="eastAsia" w:ascii="仿宋" w:hAnsi="仿宋" w:eastAsia="仿宋"/>
          <w:sz w:val="28"/>
          <w:szCs w:val="28"/>
          <w:lang w:eastAsia="zh-CN"/>
        </w:rPr>
        <w:t>犁</w:t>
      </w:r>
      <w:r>
        <w:rPr>
          <w:rFonts w:hint="eastAsia" w:ascii="仿宋" w:hAnsi="仿宋" w:eastAsia="仿宋"/>
          <w:sz w:val="28"/>
          <w:szCs w:val="28"/>
        </w:rPr>
        <w:t>桥水镇---明塘艺术文化村水土保持方案报告书编制服务项目</w:t>
      </w:r>
    </w:p>
    <w:p>
      <w:pPr>
        <w:pStyle w:val="33"/>
        <w:rPr>
          <w:rFonts w:ascii="仿宋" w:hAnsi="仿宋" w:eastAsia="仿宋"/>
          <w:sz w:val="28"/>
          <w:szCs w:val="28"/>
        </w:rPr>
      </w:pPr>
      <w:r>
        <w:rPr>
          <w:rFonts w:hint="eastAsia" w:ascii="仿宋" w:hAnsi="仿宋" w:eastAsia="仿宋"/>
          <w:sz w:val="28"/>
          <w:szCs w:val="28"/>
        </w:rPr>
        <w:t>1.2项目编号：</w:t>
      </w:r>
      <w:r>
        <w:rPr>
          <w:rFonts w:hint="eastAsia" w:ascii="仿宋" w:hAnsi="仿宋" w:eastAsia="仿宋" w:cs="宋体"/>
          <w:sz w:val="28"/>
          <w:szCs w:val="28"/>
        </w:rPr>
        <w:t>AHLF-2023-0926</w:t>
      </w:r>
    </w:p>
    <w:p>
      <w:pPr>
        <w:pStyle w:val="33"/>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3</w:t>
      </w:r>
      <w:r>
        <w:rPr>
          <w:rFonts w:ascii="仿宋" w:hAnsi="仿宋" w:eastAsia="仿宋"/>
          <w:sz w:val="28"/>
          <w:szCs w:val="28"/>
        </w:rPr>
        <w:t xml:space="preserve"> 招标人：</w:t>
      </w:r>
      <w:r>
        <w:rPr>
          <w:rFonts w:hint="eastAsia" w:ascii="仿宋" w:hAnsi="仿宋" w:eastAsia="仿宋" w:cs="宋体"/>
          <w:sz w:val="28"/>
          <w:szCs w:val="28"/>
        </w:rPr>
        <w:t>铜陵犁桥水镇旅游开发有限责任公司</w:t>
      </w:r>
    </w:p>
    <w:p>
      <w:pPr>
        <w:pStyle w:val="33"/>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4</w:t>
      </w:r>
      <w:r>
        <w:rPr>
          <w:rFonts w:ascii="仿宋" w:hAnsi="仿宋" w:eastAsia="仿宋"/>
          <w:sz w:val="28"/>
          <w:szCs w:val="28"/>
        </w:rPr>
        <w:t>资金来源：</w:t>
      </w:r>
      <w:r>
        <w:rPr>
          <w:rFonts w:hint="eastAsia" w:ascii="仿宋" w:hAnsi="仿宋" w:eastAsia="仿宋"/>
          <w:sz w:val="28"/>
          <w:szCs w:val="28"/>
        </w:rPr>
        <w:t>自筹资金</w:t>
      </w:r>
    </w:p>
    <w:p>
      <w:pPr>
        <w:pStyle w:val="33"/>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5</w:t>
      </w:r>
      <w:r>
        <w:rPr>
          <w:rFonts w:ascii="仿宋" w:hAnsi="仿宋" w:eastAsia="仿宋"/>
          <w:sz w:val="28"/>
          <w:szCs w:val="28"/>
        </w:rPr>
        <w:t xml:space="preserve"> 招标方式：公开招标</w:t>
      </w:r>
    </w:p>
    <w:p>
      <w:pPr>
        <w:pStyle w:val="33"/>
        <w:rPr>
          <w:rFonts w:ascii="仿宋" w:hAnsi="仿宋" w:eastAsia="仿宋"/>
          <w:sz w:val="28"/>
          <w:szCs w:val="28"/>
        </w:rPr>
      </w:pPr>
      <w:r>
        <w:rPr>
          <w:rFonts w:ascii="仿宋" w:hAnsi="仿宋" w:eastAsia="仿宋"/>
          <w:sz w:val="28"/>
          <w:szCs w:val="28"/>
        </w:rPr>
        <w:t>2. 项目概况与招标范围</w:t>
      </w:r>
    </w:p>
    <w:p>
      <w:pPr>
        <w:pStyle w:val="33"/>
        <w:jc w:val="center"/>
        <w:rPr>
          <w:rFonts w:ascii="仿宋" w:hAnsi="仿宋" w:eastAsia="仿宋"/>
          <w:sz w:val="28"/>
          <w:szCs w:val="28"/>
        </w:rPr>
      </w:pPr>
      <w:r>
        <w:rPr>
          <w:rFonts w:ascii="仿宋" w:hAnsi="仿宋" w:eastAsia="仿宋"/>
          <w:sz w:val="28"/>
          <w:szCs w:val="28"/>
        </w:rPr>
        <w:t>2.1 招标项目名称：</w:t>
      </w:r>
      <w:r>
        <w:rPr>
          <w:rFonts w:hint="eastAsia" w:ascii="仿宋" w:hAnsi="仿宋" w:eastAsia="仿宋"/>
          <w:sz w:val="28"/>
          <w:szCs w:val="28"/>
        </w:rPr>
        <w:t>铜陵市义安区</w:t>
      </w:r>
      <w:r>
        <w:rPr>
          <w:rFonts w:hint="eastAsia" w:ascii="仿宋" w:hAnsi="仿宋" w:eastAsia="仿宋"/>
          <w:sz w:val="28"/>
          <w:szCs w:val="28"/>
          <w:lang w:eastAsia="zh-CN"/>
        </w:rPr>
        <w:t>犁</w:t>
      </w:r>
      <w:r>
        <w:rPr>
          <w:rFonts w:hint="eastAsia" w:ascii="仿宋" w:hAnsi="仿宋" w:eastAsia="仿宋"/>
          <w:sz w:val="28"/>
          <w:szCs w:val="28"/>
        </w:rPr>
        <w:t>桥水镇---明塘艺术文化村水土保持方案报告书编制服务项目</w:t>
      </w:r>
    </w:p>
    <w:p>
      <w:pPr>
        <w:pStyle w:val="33"/>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2</w:t>
      </w:r>
      <w:r>
        <w:rPr>
          <w:rFonts w:ascii="仿宋" w:hAnsi="仿宋" w:eastAsia="仿宋"/>
          <w:sz w:val="28"/>
          <w:szCs w:val="28"/>
        </w:rPr>
        <w:t xml:space="preserve"> 标段划分：一个标段</w:t>
      </w:r>
    </w:p>
    <w:p>
      <w:pPr>
        <w:pStyle w:val="33"/>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3</w:t>
      </w:r>
      <w:r>
        <w:rPr>
          <w:rFonts w:ascii="仿宋" w:hAnsi="仿宋" w:eastAsia="仿宋"/>
          <w:sz w:val="28"/>
          <w:szCs w:val="28"/>
        </w:rPr>
        <w:t xml:space="preserve"> 建设地点：铜陵市义安区</w:t>
      </w:r>
      <w:r>
        <w:rPr>
          <w:rFonts w:hint="eastAsia" w:ascii="仿宋" w:hAnsi="仿宋" w:eastAsia="仿宋"/>
          <w:sz w:val="28"/>
          <w:szCs w:val="28"/>
          <w:lang w:eastAsia="zh-CN"/>
        </w:rPr>
        <w:t>犁</w:t>
      </w:r>
      <w:r>
        <w:rPr>
          <w:rFonts w:hint="eastAsia" w:ascii="仿宋" w:hAnsi="仿宋" w:eastAsia="仿宋"/>
          <w:sz w:val="28"/>
          <w:szCs w:val="28"/>
        </w:rPr>
        <w:t>桥水镇</w:t>
      </w:r>
    </w:p>
    <w:p>
      <w:pPr>
        <w:pStyle w:val="33"/>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4</w:t>
      </w:r>
      <w:r>
        <w:rPr>
          <w:rFonts w:ascii="仿宋" w:hAnsi="仿宋" w:eastAsia="仿宋"/>
          <w:sz w:val="28"/>
          <w:szCs w:val="28"/>
        </w:rPr>
        <w:t xml:space="preserve"> 项目</w:t>
      </w:r>
      <w:r>
        <w:rPr>
          <w:rFonts w:hint="eastAsia" w:ascii="仿宋" w:hAnsi="仿宋" w:eastAsia="仿宋"/>
          <w:sz w:val="28"/>
          <w:szCs w:val="28"/>
        </w:rPr>
        <w:t>服务对象</w:t>
      </w:r>
      <w:r>
        <w:rPr>
          <w:rFonts w:ascii="仿宋" w:hAnsi="仿宋" w:eastAsia="仿宋"/>
          <w:sz w:val="28"/>
          <w:szCs w:val="28"/>
        </w:rPr>
        <w:t>：</w:t>
      </w:r>
      <w:r>
        <w:rPr>
          <w:rFonts w:hint="eastAsia" w:ascii="仿宋" w:hAnsi="仿宋" w:eastAsia="仿宋"/>
          <w:sz w:val="28"/>
          <w:szCs w:val="28"/>
        </w:rPr>
        <w:t>项目总建筑面积43000平方米，犁桥水镇一期项目规划单体建筑共110栋，总建筑面积23852.29平方米，为古建民俗建筑;明塘文化艺术村民宿项目规划单体建筑共70栋，总建筑面积1914771平方米，建设并完成主体结构工程70栋，建筑面积19147.71平方米。其中:1住宿产品:江南徽派主题民宿、人民公社主体民宿、创意民宿，民宿装修费用4000万元。2.餐饮产品:宴会餐饮中心、原乡河鲜馆、特色农家餐厅、生态田园餐厅、酒吧一条街、特色小吃、土楼餐饮、婚庆楼等。主题展馆:古文化博物馆、钱币馆、木雕博物馆、红色纪念馆、陶瓷博物馆、火文化馆、青铜博物馆、非遗综合馆、古玩馆、民宿文化馆。装饰装修费用2000万元。3.演绎产品:动态情景表演、大型实景演出、明清江南VR全息灯光秀、童话城堡、夜游灯光费用5000万元。</w:t>
      </w:r>
    </w:p>
    <w:p>
      <w:pPr>
        <w:pStyle w:val="33"/>
        <w:rPr>
          <w:rFonts w:ascii="仿宋" w:hAnsi="仿宋" w:eastAsia="仿宋"/>
          <w:b/>
          <w:color w:val="FF0000"/>
          <w:sz w:val="28"/>
          <w:szCs w:val="28"/>
        </w:rPr>
      </w:pPr>
      <w:r>
        <w:rPr>
          <w:rFonts w:ascii="仿宋" w:hAnsi="仿宋" w:eastAsia="仿宋"/>
          <w:sz w:val="28"/>
          <w:szCs w:val="28"/>
        </w:rPr>
        <w:t>2.</w:t>
      </w:r>
      <w:r>
        <w:rPr>
          <w:rFonts w:hint="eastAsia" w:ascii="仿宋" w:hAnsi="仿宋" w:eastAsia="仿宋"/>
          <w:sz w:val="28"/>
          <w:szCs w:val="28"/>
        </w:rPr>
        <w:t>5</w:t>
      </w:r>
      <w:r>
        <w:rPr>
          <w:rFonts w:ascii="仿宋" w:hAnsi="仿宋" w:eastAsia="仿宋"/>
          <w:sz w:val="28"/>
          <w:szCs w:val="28"/>
        </w:rPr>
        <w:t xml:space="preserve"> 最高投标限价</w:t>
      </w:r>
      <w:r>
        <w:rPr>
          <w:rFonts w:ascii="仿宋" w:hAnsi="仿宋" w:eastAsia="仿宋"/>
          <w:b/>
          <w:sz w:val="28"/>
          <w:szCs w:val="28"/>
        </w:rPr>
        <w:t>：</w:t>
      </w:r>
      <w:r>
        <w:rPr>
          <w:rFonts w:hint="eastAsia" w:ascii="仿宋" w:hAnsi="仿宋" w:eastAsia="仿宋"/>
          <w:b/>
          <w:color w:val="FF0000"/>
          <w:sz w:val="28"/>
          <w:szCs w:val="28"/>
        </w:rPr>
        <w:t>65000</w:t>
      </w:r>
      <w:r>
        <w:rPr>
          <w:rFonts w:ascii="仿宋" w:hAnsi="仿宋" w:eastAsia="仿宋"/>
          <w:b/>
          <w:color w:val="FF0000"/>
          <w:sz w:val="28"/>
          <w:szCs w:val="28"/>
        </w:rPr>
        <w:t>元</w:t>
      </w:r>
      <w:r>
        <w:rPr>
          <w:rFonts w:hint="eastAsia" w:ascii="仿宋" w:hAnsi="仿宋" w:eastAsia="仿宋"/>
          <w:b/>
          <w:color w:val="FF0000"/>
          <w:sz w:val="28"/>
          <w:szCs w:val="28"/>
        </w:rPr>
        <w:t>（含专家评审服务费）</w:t>
      </w:r>
    </w:p>
    <w:p>
      <w:pPr>
        <w:pStyle w:val="33"/>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6</w:t>
      </w:r>
      <w:r>
        <w:rPr>
          <w:rFonts w:ascii="仿宋" w:hAnsi="仿宋" w:eastAsia="仿宋"/>
          <w:sz w:val="28"/>
          <w:szCs w:val="28"/>
        </w:rPr>
        <w:t xml:space="preserve"> 计划工期：</w:t>
      </w:r>
      <w:r>
        <w:rPr>
          <w:rFonts w:hint="eastAsia" w:ascii="仿宋" w:hAnsi="仿宋" w:eastAsia="仿宋"/>
          <w:sz w:val="28"/>
          <w:szCs w:val="28"/>
        </w:rPr>
        <w:t>10日历天</w:t>
      </w:r>
    </w:p>
    <w:p>
      <w:pPr>
        <w:pStyle w:val="33"/>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7</w:t>
      </w:r>
      <w:r>
        <w:rPr>
          <w:rFonts w:ascii="仿宋" w:hAnsi="仿宋" w:eastAsia="仿宋"/>
          <w:sz w:val="28"/>
          <w:szCs w:val="28"/>
        </w:rPr>
        <w:t xml:space="preserve"> </w:t>
      </w:r>
      <w:r>
        <w:rPr>
          <w:rFonts w:hint="eastAsia" w:ascii="仿宋" w:hAnsi="仿宋" w:eastAsia="仿宋"/>
          <w:sz w:val="28"/>
          <w:szCs w:val="28"/>
        </w:rPr>
        <w:t>项目招标服务需求</w:t>
      </w:r>
      <w:r>
        <w:rPr>
          <w:rFonts w:ascii="仿宋" w:hAnsi="仿宋" w:eastAsia="仿宋"/>
          <w:sz w:val="28"/>
          <w:szCs w:val="28"/>
        </w:rPr>
        <w:t>：</w:t>
      </w:r>
    </w:p>
    <w:p>
      <w:pPr>
        <w:pStyle w:val="33"/>
        <w:rPr>
          <w:rFonts w:ascii="仿宋" w:hAnsi="仿宋" w:eastAsia="仿宋"/>
          <w:sz w:val="28"/>
          <w:szCs w:val="28"/>
        </w:rPr>
      </w:pPr>
      <w:r>
        <w:rPr>
          <w:rFonts w:hint="eastAsia" w:ascii="仿宋" w:hAnsi="仿宋" w:eastAsia="仿宋"/>
          <w:sz w:val="28"/>
          <w:szCs w:val="28"/>
        </w:rPr>
        <w:t>2.7.1资料收集与现场勘查，开展水土保持方案报告书编制，并组织专家审查；协助进行水土保持方案报告书在水行政主管部门的报备，及时取得批复；</w:t>
      </w:r>
    </w:p>
    <w:p>
      <w:pPr>
        <w:pStyle w:val="33"/>
        <w:rPr>
          <w:rFonts w:ascii="仿宋" w:hAnsi="仿宋" w:eastAsia="仿宋"/>
          <w:sz w:val="28"/>
          <w:szCs w:val="28"/>
        </w:rPr>
      </w:pPr>
      <w:r>
        <w:rPr>
          <w:rFonts w:hint="eastAsia" w:ascii="仿宋" w:hAnsi="仿宋" w:eastAsia="仿宋"/>
          <w:sz w:val="28"/>
          <w:szCs w:val="28"/>
        </w:rPr>
        <w:t>2.7.2所有工作应符合现行相关法律法规、标准、规范的要求。</w:t>
      </w:r>
    </w:p>
    <w:p>
      <w:pPr>
        <w:pStyle w:val="33"/>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8</w:t>
      </w:r>
      <w:r>
        <w:rPr>
          <w:rFonts w:ascii="仿宋" w:hAnsi="仿宋" w:eastAsia="仿宋"/>
          <w:sz w:val="28"/>
          <w:szCs w:val="28"/>
        </w:rPr>
        <w:t xml:space="preserve"> 项目类别：</w:t>
      </w:r>
      <w:r>
        <w:rPr>
          <w:rFonts w:hint="eastAsia" w:ascii="仿宋" w:hAnsi="仿宋" w:eastAsia="仿宋"/>
          <w:sz w:val="28"/>
          <w:szCs w:val="28"/>
        </w:rPr>
        <w:t>服务</w:t>
      </w:r>
    </w:p>
    <w:p>
      <w:pPr>
        <w:pStyle w:val="33"/>
        <w:rPr>
          <w:rFonts w:ascii="宋体" w:hAnsi="宋体" w:cs="宋体"/>
          <w:b/>
          <w:bCs/>
          <w:kern w:val="0"/>
          <w:sz w:val="24"/>
        </w:rPr>
      </w:pPr>
      <w:r>
        <w:rPr>
          <w:rFonts w:hint="eastAsia" w:ascii="宋体" w:hAnsi="宋体" w:cs="宋体"/>
          <w:b/>
          <w:bCs/>
          <w:kern w:val="0"/>
          <w:sz w:val="24"/>
        </w:rPr>
        <w:t>二、投标人资格</w:t>
      </w:r>
    </w:p>
    <w:p>
      <w:pPr>
        <w:pStyle w:val="33"/>
        <w:rPr>
          <w:rFonts w:eastAsia="仿宋"/>
          <w:kern w:val="0"/>
          <w:sz w:val="28"/>
          <w:szCs w:val="28"/>
        </w:rPr>
      </w:pPr>
      <w:r>
        <w:rPr>
          <w:rFonts w:eastAsia="仿宋"/>
          <w:kern w:val="0"/>
          <w:sz w:val="28"/>
          <w:szCs w:val="28"/>
        </w:rPr>
        <w:t>1.满足《中华人民共和国政府采购法》第二十二条规定。</w:t>
      </w:r>
    </w:p>
    <w:p>
      <w:pPr>
        <w:pStyle w:val="33"/>
        <w:rPr>
          <w:rFonts w:eastAsia="仿宋"/>
          <w:kern w:val="0"/>
          <w:sz w:val="28"/>
          <w:szCs w:val="28"/>
        </w:rPr>
      </w:pPr>
      <w:r>
        <w:rPr>
          <w:rFonts w:hint="eastAsia" w:eastAsia="仿宋"/>
          <w:kern w:val="0"/>
          <w:sz w:val="28"/>
          <w:szCs w:val="28"/>
        </w:rPr>
        <w:t>2.独立的法人营业资格，能独立承担民事责任，持有有效的营业执照，具备完成该项目的能力；</w:t>
      </w:r>
    </w:p>
    <w:p>
      <w:pPr>
        <w:pStyle w:val="33"/>
        <w:rPr>
          <w:rFonts w:eastAsia="仿宋"/>
          <w:kern w:val="0"/>
          <w:sz w:val="28"/>
          <w:szCs w:val="28"/>
        </w:rPr>
      </w:pPr>
      <w:r>
        <w:rPr>
          <w:rFonts w:hint="eastAsia" w:eastAsia="仿宋"/>
          <w:kern w:val="0"/>
          <w:sz w:val="28"/>
          <w:szCs w:val="28"/>
        </w:rPr>
        <w:t>3.</w:t>
      </w:r>
      <w:r>
        <w:rPr>
          <w:rFonts w:eastAsia="仿宋"/>
          <w:kern w:val="0"/>
          <w:sz w:val="28"/>
          <w:szCs w:val="28"/>
        </w:rPr>
        <w:t>落实政府采购政策需满足的资格要求： □供应商提供的服务全部为小型或微型企业承接（中小企业划型标准符合工信部联企业〔2011〕300 号，投标时提供中小企业声明函）。■供应商提供的服务全部为中小企业承接（（中小企业划型标准符合工信部联企业〔2011〕300 号，投标时提供中小企业声明函。本文中“中小企业”，是 5 指《政府采购促进中小企业发展管理办法》（财库〔2020〕46 号）规定的中小微企业）；</w:t>
      </w:r>
    </w:p>
    <w:p>
      <w:pPr>
        <w:pStyle w:val="33"/>
        <w:rPr>
          <w:rFonts w:eastAsia="仿宋"/>
          <w:kern w:val="0"/>
          <w:sz w:val="28"/>
          <w:szCs w:val="28"/>
        </w:rPr>
      </w:pPr>
      <w:r>
        <w:rPr>
          <w:rFonts w:hint="eastAsia" w:eastAsia="仿宋"/>
          <w:kern w:val="0"/>
          <w:sz w:val="28"/>
          <w:szCs w:val="28"/>
        </w:rPr>
        <w:t>4</w:t>
      </w:r>
      <w:r>
        <w:rPr>
          <w:rFonts w:eastAsia="仿宋"/>
          <w:kern w:val="0"/>
          <w:sz w:val="28"/>
          <w:szCs w:val="28"/>
        </w:rPr>
        <w:t xml:space="preserve">.本项目的特定资格要求： </w:t>
      </w:r>
    </w:p>
    <w:p>
      <w:pPr>
        <w:pStyle w:val="33"/>
        <w:rPr>
          <w:rFonts w:eastAsia="仿宋"/>
          <w:kern w:val="0"/>
          <w:sz w:val="28"/>
          <w:szCs w:val="28"/>
        </w:rPr>
      </w:pPr>
      <w:r>
        <w:rPr>
          <w:rFonts w:hint="eastAsia" w:eastAsia="仿宋"/>
          <w:kern w:val="0"/>
          <w:sz w:val="28"/>
          <w:szCs w:val="28"/>
        </w:rPr>
        <w:t>4</w:t>
      </w:r>
      <w:r>
        <w:rPr>
          <w:rFonts w:eastAsia="仿宋"/>
          <w:kern w:val="0"/>
          <w:sz w:val="28"/>
          <w:szCs w:val="28"/>
        </w:rPr>
        <w:t>.1 供应商须符合下列情形之一（不良行为记录以《</w:t>
      </w:r>
      <w:r>
        <w:rPr>
          <w:rFonts w:hint="eastAsia" w:eastAsia="仿宋"/>
          <w:kern w:val="0"/>
          <w:sz w:val="28"/>
          <w:szCs w:val="28"/>
        </w:rPr>
        <w:t>铜陵</w:t>
      </w:r>
      <w:r>
        <w:rPr>
          <w:rFonts w:eastAsia="仿宋"/>
          <w:kern w:val="0"/>
          <w:sz w:val="28"/>
          <w:szCs w:val="28"/>
        </w:rPr>
        <w:t>市公共资源交易投标人（供应商）不良行为信息记录披露管理办法》</w:t>
      </w:r>
      <w:r>
        <w:rPr>
          <w:rFonts w:hint="eastAsia" w:eastAsia="仿宋"/>
          <w:kern w:val="0"/>
          <w:sz w:val="28"/>
          <w:szCs w:val="28"/>
        </w:rPr>
        <w:t xml:space="preserve"> </w:t>
      </w:r>
      <w:r>
        <w:rPr>
          <w:rFonts w:eastAsia="仿宋"/>
          <w:kern w:val="0"/>
          <w:sz w:val="28"/>
          <w:szCs w:val="28"/>
        </w:rPr>
        <w:t>：</w:t>
      </w:r>
    </w:p>
    <w:p>
      <w:pPr>
        <w:pStyle w:val="33"/>
        <w:rPr>
          <w:rFonts w:eastAsia="仿宋"/>
          <w:kern w:val="0"/>
          <w:sz w:val="28"/>
          <w:szCs w:val="28"/>
        </w:rPr>
      </w:pPr>
      <w:r>
        <w:rPr>
          <w:rFonts w:hint="eastAsia" w:eastAsia="仿宋"/>
          <w:kern w:val="0"/>
          <w:sz w:val="28"/>
          <w:szCs w:val="28"/>
        </w:rPr>
        <w:t>4</w:t>
      </w:r>
      <w:r>
        <w:rPr>
          <w:rFonts w:eastAsia="仿宋"/>
          <w:kern w:val="0"/>
          <w:sz w:val="28"/>
          <w:szCs w:val="28"/>
        </w:rPr>
        <w:t>.1.1 未被市、县市区公共资源交易监管部门或其他行政管理部门记不良行为记录；</w:t>
      </w:r>
    </w:p>
    <w:p>
      <w:pPr>
        <w:pStyle w:val="33"/>
        <w:rPr>
          <w:rFonts w:eastAsia="仿宋"/>
          <w:kern w:val="0"/>
          <w:sz w:val="28"/>
          <w:szCs w:val="28"/>
        </w:rPr>
      </w:pPr>
      <w:r>
        <w:rPr>
          <w:rFonts w:hint="eastAsia" w:eastAsia="仿宋"/>
          <w:kern w:val="0"/>
          <w:sz w:val="28"/>
          <w:szCs w:val="28"/>
        </w:rPr>
        <w:t>4</w:t>
      </w:r>
      <w:r>
        <w:rPr>
          <w:rFonts w:eastAsia="仿宋"/>
          <w:kern w:val="0"/>
          <w:sz w:val="28"/>
          <w:szCs w:val="28"/>
        </w:rPr>
        <w:t xml:space="preserve">.1.2 曾被市、县市区公共资源交易监管部门或其他行政管理部门记不良行为记录，投标截止日不在披露期内。 </w:t>
      </w:r>
    </w:p>
    <w:p>
      <w:pPr>
        <w:pStyle w:val="33"/>
        <w:rPr>
          <w:rFonts w:ascii="宋体" w:hAnsi="宋体" w:cs="宋体"/>
          <w:b/>
          <w:bCs/>
          <w:kern w:val="0"/>
          <w:sz w:val="24"/>
        </w:rPr>
      </w:pPr>
      <w:r>
        <w:rPr>
          <w:rFonts w:hint="eastAsia" w:ascii="宋体" w:hAnsi="宋体" w:cs="宋体"/>
          <w:b/>
          <w:bCs/>
          <w:kern w:val="0"/>
          <w:sz w:val="24"/>
        </w:rPr>
        <w:t>三、领取招标文件方式</w:t>
      </w:r>
    </w:p>
    <w:p>
      <w:pPr>
        <w:pStyle w:val="33"/>
        <w:rPr>
          <w:rFonts w:eastAsia="仿宋"/>
          <w:kern w:val="0"/>
          <w:sz w:val="28"/>
          <w:szCs w:val="28"/>
        </w:rPr>
      </w:pPr>
      <w:r>
        <w:rPr>
          <w:rFonts w:hint="eastAsia" w:eastAsia="仿宋"/>
          <w:kern w:val="0"/>
          <w:sz w:val="28"/>
          <w:szCs w:val="28"/>
        </w:rPr>
        <w:t>1、招标文件领取时间：即日起至2023年10月</w:t>
      </w:r>
      <w:r>
        <w:rPr>
          <w:rFonts w:hint="eastAsia" w:eastAsia="仿宋"/>
          <w:kern w:val="0"/>
          <w:sz w:val="28"/>
          <w:szCs w:val="28"/>
          <w:lang w:val="en-US" w:eastAsia="zh-CN"/>
        </w:rPr>
        <w:t xml:space="preserve"> 11</w:t>
      </w:r>
      <w:r>
        <w:rPr>
          <w:rFonts w:hint="eastAsia" w:eastAsia="仿宋"/>
          <w:kern w:val="0"/>
          <w:sz w:val="28"/>
          <w:szCs w:val="28"/>
        </w:rPr>
        <w:t>日每天8:30至下午5:00至</w:t>
      </w:r>
      <w:r>
        <w:rPr>
          <w:rFonts w:hint="eastAsia" w:eastAsia="仿宋"/>
          <w:kern w:val="0"/>
          <w:sz w:val="28"/>
          <w:szCs w:val="28"/>
          <w:lang w:val="en-US" w:eastAsia="zh-CN"/>
        </w:rPr>
        <w:t>2023年10月18日</w:t>
      </w:r>
      <w:r>
        <w:rPr>
          <w:rFonts w:hint="eastAsia" w:eastAsia="仿宋"/>
          <w:kern w:val="0"/>
          <w:sz w:val="28"/>
          <w:szCs w:val="28"/>
        </w:rPr>
        <w:t>（北京时间，法定节假日除外 ）</w:t>
      </w:r>
    </w:p>
    <w:p>
      <w:pPr>
        <w:pStyle w:val="33"/>
        <w:rPr>
          <w:rFonts w:eastAsia="仿宋"/>
          <w:kern w:val="0"/>
          <w:sz w:val="28"/>
          <w:szCs w:val="28"/>
        </w:rPr>
      </w:pPr>
      <w:r>
        <w:rPr>
          <w:rFonts w:hint="eastAsia" w:eastAsia="仿宋"/>
          <w:kern w:val="0"/>
          <w:sz w:val="28"/>
          <w:szCs w:val="28"/>
        </w:rPr>
        <w:t>2、招标文件价格：500.0元/份。</w:t>
      </w:r>
    </w:p>
    <w:p>
      <w:pPr>
        <w:pStyle w:val="33"/>
        <w:rPr>
          <w:rFonts w:eastAsia="仿宋"/>
          <w:kern w:val="0"/>
          <w:sz w:val="28"/>
          <w:szCs w:val="28"/>
        </w:rPr>
      </w:pPr>
      <w:r>
        <w:rPr>
          <w:rFonts w:hint="eastAsia" w:eastAsia="仿宋"/>
          <w:kern w:val="0"/>
          <w:sz w:val="28"/>
          <w:szCs w:val="28"/>
        </w:rPr>
        <w:t>3、领取方式：持授权委托书及营业执照复印件（盖章）购买招标文件。</w:t>
      </w:r>
    </w:p>
    <w:p>
      <w:pPr>
        <w:pStyle w:val="33"/>
        <w:rPr>
          <w:rFonts w:ascii="宋体" w:hAnsi="宋体" w:cs="宋体"/>
          <w:b/>
          <w:bCs/>
          <w:kern w:val="0"/>
          <w:sz w:val="24"/>
        </w:rPr>
      </w:pPr>
      <w:r>
        <w:rPr>
          <w:rFonts w:hint="eastAsia" w:ascii="宋体" w:hAnsi="宋体" w:cs="宋体"/>
          <w:b/>
          <w:bCs/>
          <w:kern w:val="0"/>
          <w:sz w:val="24"/>
        </w:rPr>
        <w:t>四、招标开始时间及地点</w:t>
      </w:r>
    </w:p>
    <w:p>
      <w:pPr>
        <w:pStyle w:val="33"/>
        <w:rPr>
          <w:rFonts w:eastAsia="仿宋"/>
          <w:kern w:val="0"/>
          <w:sz w:val="28"/>
          <w:szCs w:val="28"/>
        </w:rPr>
      </w:pPr>
      <w:r>
        <w:rPr>
          <w:rFonts w:hint="eastAsia" w:eastAsia="仿宋"/>
          <w:kern w:val="0"/>
          <w:sz w:val="28"/>
          <w:szCs w:val="28"/>
        </w:rPr>
        <w:t>1、投标文件递交截止时间：2023年10月</w:t>
      </w:r>
      <w:r>
        <w:rPr>
          <w:rFonts w:hint="eastAsia" w:eastAsia="仿宋"/>
          <w:kern w:val="0"/>
          <w:sz w:val="28"/>
          <w:szCs w:val="28"/>
          <w:lang w:val="en-US" w:eastAsia="zh-CN"/>
        </w:rPr>
        <w:t>19</w:t>
      </w:r>
      <w:r>
        <w:rPr>
          <w:rFonts w:hint="eastAsia" w:eastAsia="仿宋"/>
          <w:kern w:val="0"/>
          <w:sz w:val="28"/>
          <w:szCs w:val="28"/>
        </w:rPr>
        <w:t>日下午15 时00分</w:t>
      </w:r>
      <w:r>
        <w:rPr>
          <w:rFonts w:eastAsia="仿宋"/>
          <w:color w:val="FF0000"/>
          <w:kern w:val="0"/>
          <w:sz w:val="28"/>
          <w:szCs w:val="28"/>
        </w:rPr>
        <w:t xml:space="preserve"> </w:t>
      </w:r>
    </w:p>
    <w:p>
      <w:pPr>
        <w:pStyle w:val="33"/>
        <w:rPr>
          <w:rFonts w:eastAsia="仿宋"/>
          <w:kern w:val="0"/>
          <w:sz w:val="28"/>
          <w:szCs w:val="28"/>
        </w:rPr>
      </w:pPr>
      <w:r>
        <w:rPr>
          <w:rFonts w:hint="eastAsia" w:eastAsia="仿宋"/>
          <w:kern w:val="0"/>
          <w:sz w:val="28"/>
          <w:szCs w:val="28"/>
        </w:rPr>
        <w:t>2、投标文件递交地点：铜陵市鹞山新村61栋801室安徽龙方工程咨询有限公司铜陵分公司会议室。</w:t>
      </w:r>
    </w:p>
    <w:p>
      <w:pPr>
        <w:pStyle w:val="33"/>
        <w:rPr>
          <w:rFonts w:eastAsia="仿宋"/>
          <w:kern w:val="0"/>
          <w:sz w:val="28"/>
          <w:szCs w:val="28"/>
        </w:rPr>
      </w:pPr>
      <w:r>
        <w:rPr>
          <w:rFonts w:hint="eastAsia" w:eastAsia="仿宋"/>
          <w:kern w:val="0"/>
          <w:sz w:val="28"/>
          <w:szCs w:val="28"/>
        </w:rPr>
        <w:t>3、招标开始时间：</w:t>
      </w:r>
      <w:r>
        <w:rPr>
          <w:rFonts w:eastAsia="仿宋"/>
          <w:kern w:val="0"/>
          <w:sz w:val="28"/>
          <w:szCs w:val="28"/>
        </w:rPr>
        <w:t xml:space="preserve"> </w:t>
      </w:r>
      <w:r>
        <w:rPr>
          <w:rFonts w:hint="eastAsia" w:eastAsia="仿宋"/>
          <w:kern w:val="0"/>
          <w:sz w:val="28"/>
          <w:szCs w:val="28"/>
        </w:rPr>
        <w:t>同“投标文件递交截止时间”</w:t>
      </w:r>
    </w:p>
    <w:p>
      <w:pPr>
        <w:pStyle w:val="33"/>
        <w:rPr>
          <w:rFonts w:eastAsia="仿宋"/>
          <w:kern w:val="0"/>
          <w:sz w:val="28"/>
          <w:szCs w:val="28"/>
        </w:rPr>
      </w:pPr>
      <w:r>
        <w:rPr>
          <w:rFonts w:hint="eastAsia" w:eastAsia="仿宋"/>
          <w:kern w:val="0"/>
          <w:sz w:val="28"/>
          <w:szCs w:val="28"/>
        </w:rPr>
        <w:t>4、开 标 地 点：铜陵市鹞山新村61栋801室安徽龙方工程咨询有限公司铜陵分公司会议室。</w:t>
      </w:r>
    </w:p>
    <w:p>
      <w:pPr>
        <w:pStyle w:val="33"/>
        <w:rPr>
          <w:rFonts w:ascii="宋体" w:hAnsi="宋体" w:cs="宋体"/>
          <w:b/>
          <w:bCs/>
          <w:kern w:val="0"/>
          <w:sz w:val="24"/>
        </w:rPr>
      </w:pPr>
      <w:r>
        <w:rPr>
          <w:rFonts w:hint="eastAsia" w:ascii="宋体" w:hAnsi="宋体" w:cs="宋体"/>
          <w:b/>
          <w:bCs/>
          <w:kern w:val="0"/>
          <w:sz w:val="24"/>
        </w:rPr>
        <w:t>五、联系方法</w:t>
      </w:r>
    </w:p>
    <w:p>
      <w:pPr>
        <w:pStyle w:val="33"/>
        <w:rPr>
          <w:rFonts w:eastAsia="仿宋"/>
          <w:kern w:val="0"/>
          <w:sz w:val="28"/>
          <w:szCs w:val="28"/>
        </w:rPr>
      </w:pPr>
      <w:r>
        <w:rPr>
          <w:rFonts w:hint="eastAsia" w:eastAsia="仿宋"/>
          <w:kern w:val="0"/>
          <w:sz w:val="28"/>
          <w:szCs w:val="28"/>
        </w:rPr>
        <w:t>1、招标人：铜陵犁桥水镇旅游开发有限责任公司</w:t>
      </w:r>
    </w:p>
    <w:p>
      <w:pPr>
        <w:pStyle w:val="33"/>
        <w:rPr>
          <w:rFonts w:eastAsia="仿宋"/>
          <w:kern w:val="0"/>
          <w:sz w:val="28"/>
          <w:szCs w:val="28"/>
        </w:rPr>
      </w:pPr>
      <w:r>
        <w:rPr>
          <w:rFonts w:hint="eastAsia" w:eastAsia="仿宋"/>
          <w:kern w:val="0"/>
          <w:sz w:val="28"/>
          <w:szCs w:val="28"/>
        </w:rPr>
        <w:t xml:space="preserve">   地  址：铜陵市义安区顺安镇顺凤路95号</w:t>
      </w:r>
    </w:p>
    <w:p>
      <w:pPr>
        <w:pStyle w:val="33"/>
        <w:rPr>
          <w:rFonts w:eastAsia="仿宋"/>
          <w:kern w:val="0"/>
          <w:sz w:val="28"/>
          <w:szCs w:val="28"/>
        </w:rPr>
      </w:pPr>
      <w:r>
        <w:rPr>
          <w:rFonts w:hint="eastAsia" w:eastAsia="仿宋"/>
          <w:kern w:val="0"/>
          <w:sz w:val="28"/>
          <w:szCs w:val="28"/>
        </w:rPr>
        <w:t>联 系 人：  陈女士</w:t>
      </w:r>
    </w:p>
    <w:p>
      <w:pPr>
        <w:pStyle w:val="33"/>
        <w:rPr>
          <w:rFonts w:hint="eastAsia" w:eastAsia="仿宋"/>
          <w:kern w:val="0"/>
          <w:sz w:val="28"/>
          <w:szCs w:val="28"/>
          <w:lang w:val="en-US" w:eastAsia="zh-CN"/>
        </w:rPr>
      </w:pPr>
      <w:r>
        <w:rPr>
          <w:rFonts w:hint="eastAsia" w:eastAsia="仿宋"/>
          <w:kern w:val="0"/>
          <w:sz w:val="28"/>
          <w:szCs w:val="28"/>
        </w:rPr>
        <w:t xml:space="preserve">电  话： </w:t>
      </w:r>
      <w:r>
        <w:rPr>
          <w:rFonts w:hint="eastAsia" w:eastAsia="仿宋"/>
          <w:kern w:val="0"/>
          <w:sz w:val="28"/>
          <w:szCs w:val="28"/>
          <w:lang w:val="en-US" w:eastAsia="zh-CN"/>
        </w:rPr>
        <w:t>0562-8828176</w:t>
      </w:r>
    </w:p>
    <w:p>
      <w:pPr>
        <w:pStyle w:val="33"/>
        <w:rPr>
          <w:rFonts w:eastAsia="仿宋"/>
          <w:kern w:val="0"/>
          <w:sz w:val="28"/>
          <w:szCs w:val="28"/>
        </w:rPr>
      </w:pPr>
      <w:r>
        <w:rPr>
          <w:rFonts w:hint="eastAsia" w:eastAsia="仿宋"/>
          <w:kern w:val="0"/>
          <w:sz w:val="28"/>
          <w:szCs w:val="28"/>
        </w:rPr>
        <w:t>2、招标代理机构： 安徽龙方工程咨询有限公司</w:t>
      </w:r>
    </w:p>
    <w:p>
      <w:pPr>
        <w:pStyle w:val="33"/>
        <w:rPr>
          <w:rFonts w:eastAsia="仿宋"/>
          <w:kern w:val="0"/>
          <w:sz w:val="28"/>
          <w:szCs w:val="28"/>
        </w:rPr>
      </w:pPr>
      <w:r>
        <w:rPr>
          <w:rFonts w:hint="eastAsia" w:eastAsia="仿宋"/>
          <w:kern w:val="0"/>
          <w:sz w:val="28"/>
          <w:szCs w:val="28"/>
        </w:rPr>
        <w:t>地  址： 安徽省铜陵市鹞山新村61栋801室</w:t>
      </w:r>
    </w:p>
    <w:p>
      <w:pPr>
        <w:pStyle w:val="33"/>
        <w:rPr>
          <w:rFonts w:eastAsia="仿宋"/>
          <w:kern w:val="0"/>
          <w:sz w:val="28"/>
          <w:szCs w:val="28"/>
        </w:rPr>
      </w:pPr>
      <w:r>
        <w:rPr>
          <w:rFonts w:hint="eastAsia" w:eastAsia="仿宋"/>
          <w:kern w:val="0"/>
          <w:sz w:val="28"/>
          <w:szCs w:val="28"/>
        </w:rPr>
        <w:t>联系人： 郑先生</w:t>
      </w:r>
    </w:p>
    <w:p>
      <w:pPr>
        <w:pStyle w:val="33"/>
        <w:rPr>
          <w:rFonts w:eastAsia="仿宋"/>
          <w:kern w:val="0"/>
          <w:sz w:val="28"/>
          <w:szCs w:val="28"/>
        </w:rPr>
      </w:pPr>
      <w:r>
        <w:rPr>
          <w:rFonts w:hint="eastAsia" w:eastAsia="仿宋"/>
          <w:kern w:val="0"/>
          <w:sz w:val="28"/>
          <w:szCs w:val="28"/>
        </w:rPr>
        <w:t>电  话：</w:t>
      </w:r>
      <w:r>
        <w:rPr>
          <w:rFonts w:eastAsia="仿宋"/>
          <w:kern w:val="0"/>
          <w:sz w:val="28"/>
          <w:szCs w:val="28"/>
        </w:rPr>
        <w:t xml:space="preserve">  </w:t>
      </w:r>
      <w:r>
        <w:rPr>
          <w:rFonts w:hint="eastAsia" w:eastAsia="仿宋"/>
          <w:kern w:val="0"/>
          <w:sz w:val="28"/>
          <w:szCs w:val="28"/>
        </w:rPr>
        <w:t>136 4562 5818</w:t>
      </w:r>
    </w:p>
    <w:p>
      <w:pPr>
        <w:spacing w:line="360" w:lineRule="auto"/>
        <w:ind w:firstLine="643" w:firstLineChars="200"/>
        <w:jc w:val="center"/>
        <w:rPr>
          <w:rFonts w:ascii="宋体" w:hAnsi="宋体" w:cs="宋体"/>
          <w:b/>
          <w:bCs/>
          <w:sz w:val="32"/>
          <w:szCs w:val="32"/>
        </w:rPr>
      </w:pPr>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p>
      <w:pPr>
        <w:pStyle w:val="2"/>
        <w:ind w:firstLine="420"/>
        <w:rPr>
          <w:rFonts w:eastAsiaTheme="minorEastAsia"/>
        </w:rPr>
      </w:pPr>
    </w:p>
    <w:p/>
    <w:bookmarkEnd w:id="0"/>
    <w:bookmarkEnd w:id="1"/>
    <w:bookmarkEnd w:id="2"/>
    <w:p>
      <w:pPr>
        <w:pStyle w:val="15"/>
        <w:tabs>
          <w:tab w:val="left" w:pos="900"/>
          <w:tab w:val="right" w:leader="dot" w:pos="9345"/>
        </w:tabs>
        <w:spacing w:before="120" w:after="120" w:line="360" w:lineRule="auto"/>
        <w:jc w:val="center"/>
        <w:rPr>
          <w:rFonts w:ascii="Times New Roman" w:hAnsi="Times New Roman" w:cs="黑体"/>
          <w:b/>
          <w:bCs/>
          <w:kern w:val="44"/>
          <w:sz w:val="32"/>
          <w:szCs w:val="32"/>
          <w:lang w:val="zh-CN" w:bidi="zh-CN"/>
        </w:rPr>
      </w:pPr>
      <w:r>
        <w:rPr>
          <w:rFonts w:hint="eastAsia" w:ascii="Times New Roman" w:hAnsi="Times New Roman" w:cs="黑体"/>
          <w:b/>
          <w:bCs/>
          <w:kern w:val="44"/>
          <w:sz w:val="32"/>
          <w:szCs w:val="32"/>
          <w:lang w:val="zh-CN" w:bidi="zh-CN"/>
        </w:rPr>
        <w:t>第二章  投标须知前附表</w:t>
      </w:r>
    </w:p>
    <w:tbl>
      <w:tblPr>
        <w:tblStyle w:val="18"/>
        <w:tblW w:w="90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04"/>
        <w:gridCol w:w="2920"/>
        <w:gridCol w:w="533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tblHeader/>
          <w:jc w:val="center"/>
        </w:trPr>
        <w:tc>
          <w:tcPr>
            <w:tcW w:w="804" w:type="dxa"/>
            <w:tcMar>
              <w:left w:w="113" w:type="dxa"/>
              <w:right w:w="113" w:type="dxa"/>
            </w:tcMar>
            <w:vAlign w:val="center"/>
          </w:tcPr>
          <w:p>
            <w:pPr>
              <w:pStyle w:val="23"/>
              <w:wordWrap w:val="0"/>
              <w:adjustRightInd/>
              <w:snapToGrid w:val="0"/>
              <w:jc w:val="center"/>
              <w:rPr>
                <w:sz w:val="21"/>
                <w:szCs w:val="21"/>
                <w:lang w:val="zh-CN"/>
              </w:rPr>
            </w:pPr>
            <w:bookmarkStart w:id="3" w:name="_Hlk450145192"/>
            <w:r>
              <w:rPr>
                <w:rFonts w:hint="eastAsia"/>
                <w:sz w:val="21"/>
                <w:szCs w:val="21"/>
                <w:lang w:val="zh-CN"/>
              </w:rPr>
              <w:t>序号</w:t>
            </w:r>
          </w:p>
        </w:tc>
        <w:tc>
          <w:tcPr>
            <w:tcW w:w="2920"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lang w:val="zh-CN"/>
              </w:rPr>
              <w:t>条款名称</w:t>
            </w:r>
          </w:p>
        </w:tc>
        <w:tc>
          <w:tcPr>
            <w:tcW w:w="5333"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lang w:val="zh-CN"/>
              </w:rPr>
              <w:t>说明和要求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1</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最高限价</w:t>
            </w:r>
          </w:p>
        </w:tc>
        <w:tc>
          <w:tcPr>
            <w:tcW w:w="5333" w:type="dxa"/>
            <w:tcMar>
              <w:left w:w="113" w:type="dxa"/>
              <w:right w:w="113" w:type="dxa"/>
            </w:tcMar>
            <w:vAlign w:val="center"/>
          </w:tcPr>
          <w:p>
            <w:pPr>
              <w:pStyle w:val="23"/>
              <w:wordWrap w:val="0"/>
              <w:adjustRightInd/>
              <w:snapToGrid w:val="0"/>
              <w:jc w:val="both"/>
              <w:rPr>
                <w:sz w:val="21"/>
                <w:szCs w:val="21"/>
              </w:rPr>
            </w:pPr>
            <w:r>
              <w:rPr>
                <w:rFonts w:hint="eastAsia"/>
                <w:sz w:val="21"/>
                <w:szCs w:val="21"/>
              </w:rPr>
              <w:t>见竞争性磋商公告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2</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供应商资格审查材料</w:t>
            </w:r>
          </w:p>
        </w:tc>
        <w:tc>
          <w:tcPr>
            <w:tcW w:w="5333"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详见竞争性磋商文件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3</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采购方式</w:t>
            </w:r>
          </w:p>
        </w:tc>
        <w:tc>
          <w:tcPr>
            <w:tcW w:w="5333"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竞争性磋商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4</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评标方法</w:t>
            </w:r>
          </w:p>
        </w:tc>
        <w:tc>
          <w:tcPr>
            <w:tcW w:w="5333"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综合评分法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5</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服务期限</w:t>
            </w:r>
          </w:p>
        </w:tc>
        <w:tc>
          <w:tcPr>
            <w:tcW w:w="5333" w:type="dxa"/>
            <w:tcMar>
              <w:left w:w="113" w:type="dxa"/>
              <w:right w:w="113" w:type="dxa"/>
            </w:tcMar>
            <w:vAlign w:val="center"/>
          </w:tcPr>
          <w:p>
            <w:pPr>
              <w:pStyle w:val="23"/>
              <w:wordWrap w:val="0"/>
              <w:adjustRightInd/>
              <w:snapToGrid w:val="0"/>
              <w:jc w:val="both"/>
              <w:rPr>
                <w:sz w:val="21"/>
                <w:szCs w:val="21"/>
              </w:rPr>
            </w:pPr>
            <w:r>
              <w:rPr>
                <w:rFonts w:hint="eastAsia"/>
                <w:sz w:val="21"/>
                <w:szCs w:val="21"/>
              </w:rPr>
              <w:t>见竞争性磋商公告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6</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是否接受联合体磋商响应</w:t>
            </w:r>
          </w:p>
        </w:tc>
        <w:tc>
          <w:tcPr>
            <w:tcW w:w="5333"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不接受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7</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是否接受分包履约</w:t>
            </w:r>
          </w:p>
        </w:tc>
        <w:tc>
          <w:tcPr>
            <w:tcW w:w="5333" w:type="dxa"/>
            <w:tcMar>
              <w:left w:w="113" w:type="dxa"/>
              <w:right w:w="113" w:type="dxa"/>
            </w:tcMar>
            <w:vAlign w:val="center"/>
          </w:tcPr>
          <w:p>
            <w:pPr>
              <w:pStyle w:val="23"/>
              <w:wordWrap w:val="0"/>
              <w:adjustRightInd/>
              <w:snapToGrid w:val="0"/>
              <w:jc w:val="both"/>
              <w:rPr>
                <w:b/>
                <w:sz w:val="21"/>
                <w:szCs w:val="21"/>
              </w:rPr>
            </w:pPr>
            <w:r>
              <w:rPr>
                <w:rFonts w:hint="eastAsia"/>
                <w:sz w:val="21"/>
                <w:szCs w:val="21"/>
                <w:lang w:val="zh-CN"/>
              </w:rPr>
              <w:t>不接受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8</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rPr>
              <w:t>标段划分</w:t>
            </w:r>
          </w:p>
        </w:tc>
        <w:tc>
          <w:tcPr>
            <w:tcW w:w="5333" w:type="dxa"/>
            <w:tcMar>
              <w:left w:w="113" w:type="dxa"/>
              <w:right w:w="113" w:type="dxa"/>
            </w:tcMar>
            <w:vAlign w:val="center"/>
          </w:tcPr>
          <w:p>
            <w:pPr>
              <w:pStyle w:val="23"/>
              <w:adjustRightInd/>
              <w:snapToGrid w:val="0"/>
              <w:jc w:val="both"/>
              <w:rPr>
                <w:sz w:val="21"/>
                <w:szCs w:val="21"/>
              </w:rPr>
            </w:pPr>
            <w:r>
              <w:rPr>
                <w:rFonts w:hint="eastAsia"/>
                <w:sz w:val="21"/>
                <w:szCs w:val="21"/>
              </w:rPr>
              <w:t>一个标段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9</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rPr>
              <w:t>成交候选人的推荐</w:t>
            </w:r>
          </w:p>
        </w:tc>
        <w:tc>
          <w:tcPr>
            <w:tcW w:w="5333" w:type="dxa"/>
            <w:tcMar>
              <w:left w:w="113" w:type="dxa"/>
              <w:right w:w="113" w:type="dxa"/>
            </w:tcMar>
            <w:vAlign w:val="center"/>
          </w:tcPr>
          <w:p>
            <w:pPr>
              <w:pStyle w:val="23"/>
              <w:adjustRightInd/>
              <w:snapToGrid w:val="0"/>
              <w:jc w:val="both"/>
              <w:rPr>
                <w:sz w:val="21"/>
                <w:szCs w:val="21"/>
              </w:rPr>
            </w:pPr>
            <w:r>
              <w:rPr>
                <w:rFonts w:hint="eastAsia"/>
                <w:b/>
                <w:sz w:val="21"/>
                <w:szCs w:val="21"/>
              </w:rPr>
              <w:t>磋商小组依据磋商文件规定的评标标准和方法，对所有磋商响应文件分别进行评审和比较，结合信用查询情况，按顺序推荐出有排序的</w:t>
            </w:r>
            <w:r>
              <w:rPr>
                <w:rFonts w:hint="eastAsia"/>
                <w:b/>
                <w:sz w:val="21"/>
                <w:szCs w:val="21"/>
                <w:u w:val="single"/>
              </w:rPr>
              <w:t>2</w:t>
            </w:r>
            <w:r>
              <w:rPr>
                <w:rFonts w:hint="eastAsia"/>
                <w:b/>
                <w:sz w:val="21"/>
                <w:szCs w:val="21"/>
              </w:rPr>
              <w:t>名成交候选人。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10</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rPr>
              <w:t>磋商响应保证金</w:t>
            </w:r>
          </w:p>
        </w:tc>
        <w:tc>
          <w:tcPr>
            <w:tcW w:w="5333" w:type="dxa"/>
            <w:tcMar>
              <w:left w:w="113" w:type="dxa"/>
              <w:right w:w="113" w:type="dxa"/>
            </w:tcMar>
            <w:vAlign w:val="center"/>
          </w:tcPr>
          <w:p>
            <w:pPr>
              <w:pStyle w:val="23"/>
              <w:adjustRightInd/>
              <w:snapToGrid w:val="0"/>
              <w:jc w:val="both"/>
              <w:rPr>
                <w:sz w:val="21"/>
                <w:szCs w:val="21"/>
              </w:rPr>
            </w:pPr>
            <w:r>
              <w:rPr>
                <w:rFonts w:hint="eastAsia"/>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11</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rPr>
              <w:t>磋商文件获取</w:t>
            </w:r>
          </w:p>
        </w:tc>
        <w:tc>
          <w:tcPr>
            <w:tcW w:w="5333" w:type="dxa"/>
            <w:tcMar>
              <w:left w:w="113" w:type="dxa"/>
              <w:right w:w="113" w:type="dxa"/>
            </w:tcMar>
            <w:vAlign w:val="center"/>
          </w:tcPr>
          <w:p>
            <w:pPr>
              <w:pStyle w:val="23"/>
              <w:adjustRightInd/>
              <w:snapToGrid w:val="0"/>
              <w:jc w:val="both"/>
              <w:rPr>
                <w:sz w:val="21"/>
                <w:szCs w:val="21"/>
              </w:rPr>
            </w:pPr>
            <w:r>
              <w:rPr>
                <w:rFonts w:hint="eastAsia"/>
                <w:sz w:val="21"/>
                <w:szCs w:val="21"/>
              </w:rPr>
              <w:t>供应商应自行下载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lang w:val="zh-CN"/>
              </w:rPr>
              <w:t>12</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lang w:val="zh-CN"/>
              </w:rPr>
              <w:t>构成竞争性磋商文件的其他文件</w:t>
            </w:r>
          </w:p>
        </w:tc>
        <w:tc>
          <w:tcPr>
            <w:tcW w:w="5333" w:type="dxa"/>
            <w:tcMar>
              <w:left w:w="113" w:type="dxa"/>
              <w:right w:w="113" w:type="dxa"/>
            </w:tcMar>
            <w:vAlign w:val="center"/>
          </w:tcPr>
          <w:p>
            <w:pPr>
              <w:pStyle w:val="23"/>
              <w:wordWrap w:val="0"/>
              <w:adjustRightInd/>
              <w:snapToGrid w:val="0"/>
              <w:jc w:val="both"/>
              <w:rPr>
                <w:sz w:val="21"/>
                <w:szCs w:val="21"/>
              </w:rPr>
            </w:pPr>
            <w:r>
              <w:rPr>
                <w:rFonts w:hint="eastAsia"/>
                <w:sz w:val="21"/>
                <w:szCs w:val="21"/>
                <w:lang w:val="zh-CN"/>
              </w:rPr>
              <w:t>竞争性磋商文件的澄清</w:t>
            </w:r>
            <w:r>
              <w:rPr>
                <w:rFonts w:hint="eastAsia"/>
                <w:sz w:val="21"/>
                <w:szCs w:val="21"/>
              </w:rPr>
              <w:t>、修改书及有关补充通知为竞争性磋商文件的有效组成部分。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13</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rPr>
              <w:t>工期</w:t>
            </w:r>
          </w:p>
        </w:tc>
        <w:tc>
          <w:tcPr>
            <w:tcW w:w="5333" w:type="dxa"/>
            <w:tcMar>
              <w:left w:w="113" w:type="dxa"/>
              <w:right w:w="113" w:type="dxa"/>
            </w:tcMar>
            <w:vAlign w:val="center"/>
          </w:tcPr>
          <w:p>
            <w:pPr>
              <w:pStyle w:val="23"/>
              <w:wordWrap w:val="0"/>
              <w:adjustRightInd/>
              <w:snapToGrid w:val="0"/>
              <w:jc w:val="both"/>
              <w:rPr>
                <w:sz w:val="21"/>
                <w:szCs w:val="21"/>
              </w:rPr>
            </w:pPr>
            <w:r>
              <w:rPr>
                <w:rFonts w:hint="eastAsia"/>
                <w:sz w:val="21"/>
                <w:szCs w:val="21"/>
              </w:rPr>
              <w:t>10日历天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lang w:val="zh-CN"/>
              </w:rPr>
              <w:t>1</w:t>
            </w:r>
            <w:r>
              <w:rPr>
                <w:rFonts w:hint="eastAsia"/>
                <w:sz w:val="21"/>
                <w:szCs w:val="21"/>
              </w:rPr>
              <w:t>4</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lang w:val="zh-CN"/>
              </w:rPr>
              <w:t>磋商响应有效期</w:t>
            </w:r>
          </w:p>
        </w:tc>
        <w:tc>
          <w:tcPr>
            <w:tcW w:w="5333" w:type="dxa"/>
            <w:tcMar>
              <w:left w:w="113" w:type="dxa"/>
              <w:right w:w="113" w:type="dxa"/>
            </w:tcMar>
            <w:vAlign w:val="center"/>
          </w:tcPr>
          <w:p>
            <w:pPr>
              <w:pStyle w:val="23"/>
              <w:wordWrap w:val="0"/>
              <w:adjustRightInd/>
              <w:snapToGrid w:val="0"/>
              <w:jc w:val="both"/>
              <w:rPr>
                <w:sz w:val="21"/>
                <w:szCs w:val="21"/>
              </w:rPr>
            </w:pPr>
            <w:r>
              <w:rPr>
                <w:rFonts w:hint="eastAsia"/>
                <w:sz w:val="21"/>
                <w:szCs w:val="21"/>
              </w:rPr>
              <w:t>60天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15</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付款方式</w:t>
            </w:r>
          </w:p>
        </w:tc>
        <w:tc>
          <w:tcPr>
            <w:tcW w:w="5333" w:type="dxa"/>
            <w:tcMar>
              <w:left w:w="113" w:type="dxa"/>
              <w:right w:w="113" w:type="dxa"/>
            </w:tcMar>
            <w:vAlign w:val="center"/>
          </w:tcPr>
          <w:p>
            <w:pPr>
              <w:pStyle w:val="23"/>
              <w:wordWrap w:val="0"/>
              <w:adjustRightInd/>
              <w:snapToGrid w:val="0"/>
              <w:jc w:val="both"/>
              <w:rPr>
                <w:bCs/>
                <w:color w:val="0000FF"/>
                <w:sz w:val="21"/>
                <w:szCs w:val="21"/>
              </w:rPr>
            </w:pPr>
            <w:r>
              <w:rPr>
                <w:rFonts w:hint="eastAsia"/>
                <w:bCs/>
                <w:color w:val="000000" w:themeColor="text1"/>
                <w:sz w:val="21"/>
                <w:szCs w:val="21"/>
                <w14:textFill>
                  <w14:solidFill>
                    <w14:schemeClr w14:val="tx1"/>
                  </w14:solidFill>
                </w14:textFill>
              </w:rPr>
              <w:t>合同签订后，中标人在规定时间内完成水土保持方案报告书编制并取得批复文件后30日历天内一次性支付至合同总价的100%。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16</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项目交付地点</w:t>
            </w:r>
          </w:p>
        </w:tc>
        <w:tc>
          <w:tcPr>
            <w:tcW w:w="5333" w:type="dxa"/>
            <w:tcMar>
              <w:left w:w="113" w:type="dxa"/>
              <w:right w:w="113" w:type="dxa"/>
            </w:tcMar>
            <w:vAlign w:val="center"/>
          </w:tcPr>
          <w:p>
            <w:pPr>
              <w:pStyle w:val="23"/>
              <w:wordWrap w:val="0"/>
              <w:adjustRightInd/>
              <w:snapToGrid w:val="0"/>
              <w:jc w:val="both"/>
              <w:rPr>
                <w:sz w:val="21"/>
                <w:szCs w:val="21"/>
              </w:rPr>
            </w:pPr>
            <w:r>
              <w:rPr>
                <w:sz w:val="21"/>
                <w:szCs w:val="21"/>
              </w:rPr>
              <w:t>供应商自行踏勘；</w:t>
            </w:r>
          </w:p>
          <w:p>
            <w:pPr>
              <w:pStyle w:val="23"/>
              <w:wordWrap w:val="0"/>
              <w:adjustRightInd/>
              <w:snapToGrid w:val="0"/>
              <w:jc w:val="both"/>
              <w:rPr>
                <w:sz w:val="21"/>
                <w:szCs w:val="21"/>
              </w:rPr>
            </w:pPr>
            <w:r>
              <w:rPr>
                <w:rFonts w:hint="eastAsia"/>
                <w:sz w:val="21"/>
                <w:szCs w:val="21"/>
              </w:rPr>
              <w:t>踏勘联系人及联系方式：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lang w:val="zh-CN"/>
              </w:rPr>
              <w:t>1</w:t>
            </w:r>
            <w:r>
              <w:rPr>
                <w:rFonts w:hint="eastAsia"/>
                <w:sz w:val="21"/>
                <w:szCs w:val="21"/>
              </w:rPr>
              <w:t>7</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磋商响应文件份数</w:t>
            </w:r>
          </w:p>
        </w:tc>
        <w:tc>
          <w:tcPr>
            <w:tcW w:w="5333"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一份正本、两份副本</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18</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磋商及磋商响应书递交</w:t>
            </w:r>
          </w:p>
        </w:tc>
        <w:tc>
          <w:tcPr>
            <w:tcW w:w="5333" w:type="dxa"/>
            <w:tcMar>
              <w:left w:w="113" w:type="dxa"/>
              <w:right w:w="113" w:type="dxa"/>
            </w:tcMar>
            <w:vAlign w:val="center"/>
          </w:tcPr>
          <w:p>
            <w:pPr>
              <w:wordWrap w:val="0"/>
              <w:autoSpaceDE w:val="0"/>
              <w:autoSpaceDN w:val="0"/>
              <w:snapToGrid w:val="0"/>
              <w:rPr>
                <w:rFonts w:ascii="宋体" w:hAnsi="宋体" w:cs="宋体"/>
                <w:lang w:val="zh-CN"/>
              </w:rPr>
            </w:pPr>
            <w:r>
              <w:rPr>
                <w:rFonts w:hint="eastAsia" w:ascii="宋体" w:hAnsi="宋体" w:cs="宋体"/>
                <w:kern w:val="0"/>
              </w:rPr>
              <w:t>见竞争性磋商公告，供应商应当仔细上网查看地点及时间相关发布或变更信息，递交至错误的磋商响应地点将造成标书无法接受。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lang w:val="zh-CN"/>
              </w:rPr>
              <w:t>1</w:t>
            </w:r>
            <w:r>
              <w:rPr>
                <w:rFonts w:hint="eastAsia"/>
                <w:sz w:val="21"/>
                <w:szCs w:val="21"/>
              </w:rPr>
              <w:t>9</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磋商及响应截止时间</w:t>
            </w:r>
          </w:p>
        </w:tc>
        <w:tc>
          <w:tcPr>
            <w:tcW w:w="5333" w:type="dxa"/>
            <w:tcMar>
              <w:left w:w="113" w:type="dxa"/>
              <w:right w:w="113" w:type="dxa"/>
            </w:tcMar>
            <w:vAlign w:val="center"/>
          </w:tcPr>
          <w:p>
            <w:pPr>
              <w:pStyle w:val="23"/>
              <w:wordWrap w:val="0"/>
              <w:adjustRightInd/>
              <w:snapToGrid w:val="0"/>
              <w:jc w:val="both"/>
              <w:rPr>
                <w:sz w:val="21"/>
                <w:szCs w:val="21"/>
              </w:rPr>
            </w:pPr>
            <w:r>
              <w:rPr>
                <w:rFonts w:hint="eastAsia"/>
                <w:sz w:val="21"/>
                <w:szCs w:val="21"/>
                <w:lang w:val="zh-CN"/>
              </w:rPr>
              <w:t>见</w:t>
            </w:r>
            <w:r>
              <w:rPr>
                <w:rFonts w:hint="eastAsia"/>
                <w:sz w:val="21"/>
                <w:szCs w:val="21"/>
              </w:rPr>
              <w:t>竞争性</w:t>
            </w:r>
            <w:r>
              <w:rPr>
                <w:rFonts w:hint="eastAsia"/>
                <w:sz w:val="21"/>
                <w:szCs w:val="21"/>
                <w:lang w:val="zh-CN"/>
              </w:rPr>
              <w:t>磋商公告，迟于响应截止时间递交的文件将不予接受。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20</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rPr>
              <w:t>费用承担</w:t>
            </w:r>
          </w:p>
        </w:tc>
        <w:tc>
          <w:tcPr>
            <w:tcW w:w="5333" w:type="dxa"/>
            <w:tcMar>
              <w:left w:w="113" w:type="dxa"/>
              <w:right w:w="113" w:type="dxa"/>
            </w:tcMar>
            <w:vAlign w:val="center"/>
          </w:tcPr>
          <w:p>
            <w:pPr>
              <w:pStyle w:val="23"/>
              <w:wordWrap w:val="0"/>
              <w:adjustRightInd/>
              <w:snapToGrid w:val="0"/>
              <w:jc w:val="both"/>
              <w:rPr>
                <w:sz w:val="21"/>
                <w:szCs w:val="21"/>
              </w:rPr>
            </w:pPr>
            <w:r>
              <w:rPr>
                <w:rFonts w:hint="eastAsia"/>
                <w:sz w:val="21"/>
                <w:szCs w:val="21"/>
              </w:rPr>
              <w:t>供应商参加磋商活动发生的一切费用均自理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2</w:t>
            </w:r>
            <w:r>
              <w:rPr>
                <w:rFonts w:hint="eastAsia"/>
                <w:sz w:val="21"/>
                <w:szCs w:val="21"/>
              </w:rPr>
              <w:t>1</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lang w:val="zh-CN"/>
              </w:rPr>
              <w:t>政府采购政策</w:t>
            </w:r>
          </w:p>
        </w:tc>
        <w:tc>
          <w:tcPr>
            <w:tcW w:w="5333"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lang w:val="zh-CN"/>
              </w:rPr>
              <w:t>一、中小企业</w:t>
            </w:r>
          </w:p>
          <w:p>
            <w:pPr>
              <w:pStyle w:val="23"/>
              <w:wordWrap w:val="0"/>
              <w:adjustRightInd/>
              <w:snapToGrid w:val="0"/>
              <w:jc w:val="both"/>
              <w:rPr>
                <w:sz w:val="21"/>
                <w:szCs w:val="21"/>
                <w:lang w:val="zh-CN"/>
              </w:rPr>
            </w:pPr>
            <w:r>
              <w:rPr>
                <w:rFonts w:hint="eastAsia"/>
                <w:sz w:val="21"/>
                <w:szCs w:val="21"/>
                <w:lang w:val="zh-CN"/>
              </w:rPr>
              <w:t>依据《政府采购促进中小企业发展管理办法》（财库〔2020〕46号），参加本次采购活动的中小企业应当在响应文件中提供有效的《中小企业声明函》，并对其真实性负责。</w:t>
            </w:r>
          </w:p>
          <w:p>
            <w:pPr>
              <w:pStyle w:val="23"/>
              <w:wordWrap w:val="0"/>
              <w:adjustRightInd/>
              <w:snapToGrid w:val="0"/>
              <w:jc w:val="both"/>
              <w:rPr>
                <w:sz w:val="21"/>
                <w:szCs w:val="21"/>
                <w:lang w:val="zh-CN"/>
              </w:rPr>
            </w:pPr>
            <w:r>
              <w:rPr>
                <w:rFonts w:hint="eastAsia"/>
                <w:sz w:val="21"/>
                <w:szCs w:val="21"/>
                <w:lang w:val="zh-CN"/>
              </w:rPr>
              <w:t>二、监狱企业。</w:t>
            </w:r>
          </w:p>
          <w:p>
            <w:pPr>
              <w:pStyle w:val="23"/>
              <w:wordWrap w:val="0"/>
              <w:adjustRightInd/>
              <w:snapToGrid w:val="0"/>
              <w:jc w:val="both"/>
              <w:rPr>
                <w:sz w:val="21"/>
                <w:szCs w:val="21"/>
                <w:lang w:val="zh-CN"/>
              </w:rPr>
            </w:pPr>
            <w:r>
              <w:rPr>
                <w:rFonts w:hint="eastAsia"/>
                <w:sz w:val="21"/>
                <w:szCs w:val="21"/>
                <w:lang w:val="zh-CN"/>
              </w:rPr>
              <w:t>根据财政部司法部《关于政府采购支持监狱企业发展有关问题的通知》(财库〔2014〕68 号)，监狱企业视同小型、微型企业。监狱企业参加政府采购活动时，提供由省级以上监狱管理局、戒毒管理局(含新疆生产建设兵团)出具的属于监狱企业的证明文件，不再提供《中小微企业声明函》。</w:t>
            </w:r>
          </w:p>
          <w:p>
            <w:pPr>
              <w:pStyle w:val="23"/>
              <w:wordWrap w:val="0"/>
              <w:adjustRightInd/>
              <w:snapToGrid w:val="0"/>
              <w:jc w:val="both"/>
              <w:rPr>
                <w:sz w:val="21"/>
                <w:szCs w:val="21"/>
                <w:lang w:val="zh-CN"/>
              </w:rPr>
            </w:pPr>
            <w:r>
              <w:rPr>
                <w:rFonts w:hint="eastAsia"/>
                <w:sz w:val="21"/>
                <w:szCs w:val="21"/>
                <w:lang w:val="zh-CN"/>
              </w:rPr>
              <w:t>三、残疾人福利性单位</w:t>
            </w:r>
          </w:p>
          <w:p>
            <w:pPr>
              <w:pStyle w:val="23"/>
              <w:wordWrap w:val="0"/>
              <w:adjustRightInd/>
              <w:snapToGrid w:val="0"/>
              <w:jc w:val="both"/>
              <w:rPr>
                <w:sz w:val="21"/>
                <w:szCs w:val="21"/>
                <w:lang w:val="zh-CN"/>
              </w:rPr>
            </w:pPr>
            <w:r>
              <w:rPr>
                <w:rFonts w:hint="eastAsia"/>
                <w:sz w:val="21"/>
                <w:szCs w:val="21"/>
                <w:lang w:val="zh-CN"/>
              </w:rPr>
              <w:t>根据财政部民政部《中国残疾人联合会关于促进残疾人就业政府采购政策的通知》（财库〔2017〕141 号）的规定，残疾人福利性单位视同小型、微型企业。符合条件的残疾人福利性单位在参加政府采购活动时，提供 141号文规定的《残疾人福利性单位声明函》，不再提供《中小企业声明函》。残疾人福利性单位属于小型、微型企业的，不重复享受政策。</w:t>
            </w:r>
          </w:p>
          <w:p>
            <w:pPr>
              <w:pStyle w:val="23"/>
              <w:wordWrap w:val="0"/>
              <w:adjustRightInd/>
              <w:snapToGrid w:val="0"/>
              <w:jc w:val="both"/>
              <w:rPr>
                <w:sz w:val="21"/>
                <w:szCs w:val="21"/>
                <w:lang w:val="zh-CN"/>
              </w:rPr>
            </w:pPr>
            <w:r>
              <w:rPr>
                <w:rFonts w:hint="eastAsia"/>
                <w:sz w:val="21"/>
                <w:szCs w:val="21"/>
                <w:lang w:val="zh-CN"/>
              </w:rPr>
              <w:t>四、三首、创新产品</w:t>
            </w:r>
          </w:p>
          <w:p>
            <w:pPr>
              <w:pStyle w:val="23"/>
              <w:wordWrap w:val="0"/>
              <w:adjustRightInd/>
              <w:snapToGrid w:val="0"/>
              <w:jc w:val="both"/>
              <w:rPr>
                <w:sz w:val="21"/>
                <w:szCs w:val="21"/>
                <w:lang w:val="zh-CN"/>
              </w:rPr>
            </w:pPr>
            <w:r>
              <w:rPr>
                <w:rFonts w:hint="eastAsia"/>
                <w:sz w:val="21"/>
                <w:szCs w:val="21"/>
                <w:lang w:val="zh-CN"/>
              </w:rPr>
              <w:t>依据《铜陵市人民政府办公室关于印发铜陵市科技型小微企业创新产品首张订单和推广应用实施办法（试行）的通知）》（铜政办〔2021〕11号）和《铜陵市财政局关于落实政府采购支持科技创新政策的通知》（财购〔2021〕12号），规范支持三首、创新产品政策，具体为三首产品和经市科技局认定的创新产品自认定之日起2年内，视同已具备相应销售业绩，参加政府采购活动时业绩分值为满分。经市科技局认定的创新产品应提供市科技局公布的铜陵市科技型小微企业创新产品目录相关文件，三首产品应提供省经信厅公布首台套重大技术装备、首批次新材料、首版次软件产品名单相关文件或省经信厅网站公开的截图，未提供的不享受相关政策。</w:t>
            </w:r>
          </w:p>
          <w:p>
            <w:pPr>
              <w:pStyle w:val="23"/>
              <w:wordWrap w:val="0"/>
              <w:adjustRightInd/>
              <w:snapToGrid w:val="0"/>
              <w:jc w:val="both"/>
              <w:rPr>
                <w:sz w:val="21"/>
                <w:szCs w:val="21"/>
                <w:lang w:val="zh-CN"/>
              </w:rPr>
            </w:pPr>
            <w:r>
              <w:rPr>
                <w:rFonts w:hint="eastAsia"/>
                <w:sz w:val="21"/>
                <w:szCs w:val="21"/>
                <w:lang w:val="zh-CN"/>
              </w:rPr>
              <w:t>五、节能环保产品</w:t>
            </w:r>
          </w:p>
          <w:p>
            <w:pPr>
              <w:pStyle w:val="23"/>
              <w:wordWrap w:val="0"/>
              <w:adjustRightInd/>
              <w:snapToGrid w:val="0"/>
              <w:jc w:val="both"/>
              <w:rPr>
                <w:sz w:val="21"/>
                <w:szCs w:val="21"/>
                <w:lang w:val="zh-CN"/>
              </w:rPr>
            </w:pPr>
            <w:r>
              <w:rPr>
                <w:rFonts w:hint="eastAsia"/>
                <w:sz w:val="21"/>
                <w:szCs w:val="21"/>
                <w:lang w:val="zh-CN"/>
              </w:rPr>
              <w:t>依据《关于调整优化节能产品、环境标志产品政府采购执行机制的通知》财库〔2019〕9号，采购人拟采购的产品属于政府采购节能产品、环境标志产品品目清单范围的，采购人及其委托的采购代理机构应当依据国家确定的认证机构出具的、处于有效期之内的节能产品、环境标志产品认证证书，对获得证书的产品实施政府优先采购或强制采购。即给予获得证书的相关产品加分或做为不允许偏离的实质性要求。供应商应提供国家确定的认证机构出具的、处于有效期之内的节能产品、环境标志产品认证证书及国家市场监管总局或中国政府采购网发布的参与实施政府采购节能产品、环境标志产品认证机构的名单，未提供的不享受加分或做为未实质性响应。对于未列入品目清单的产品类别，采购人综合考虑节能、节水、环保、循环、低碳、再生、有机等因素，参考相关国家标准、行业标准或团体标准，在采购需求中提出相关绿色采购要求，促进绿色产品推广应用。</w:t>
            </w:r>
          </w:p>
          <w:p>
            <w:pPr>
              <w:pStyle w:val="23"/>
              <w:wordWrap w:val="0"/>
              <w:adjustRightInd/>
              <w:snapToGrid w:val="0"/>
              <w:jc w:val="both"/>
              <w:rPr>
                <w:sz w:val="21"/>
                <w:szCs w:val="21"/>
              </w:rPr>
            </w:pPr>
            <w:r>
              <w:rPr>
                <w:rFonts w:hint="eastAsia"/>
                <w:sz w:val="21"/>
                <w:szCs w:val="21"/>
                <w:lang w:val="zh-CN"/>
              </w:rPr>
              <w:t>本项目将对排名第一的中标候选人提供的《中小企业声明函》、《残疾人福利性单位声明函》、监狱企业证明材料，随评审结果一并公示。如涉嫌造假，将由监管部门按相关规定进行处理。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lang w:val="zh-CN"/>
              </w:rPr>
              <w:t>2</w:t>
            </w:r>
            <w:r>
              <w:rPr>
                <w:rFonts w:hint="eastAsia"/>
                <w:sz w:val="21"/>
                <w:szCs w:val="21"/>
              </w:rPr>
              <w:t>2</w:t>
            </w:r>
          </w:p>
        </w:tc>
        <w:tc>
          <w:tcPr>
            <w:tcW w:w="2920"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rPr>
              <w:t>合同签订时间</w:t>
            </w:r>
          </w:p>
        </w:tc>
        <w:tc>
          <w:tcPr>
            <w:tcW w:w="5333" w:type="dxa"/>
            <w:tcMar>
              <w:left w:w="113" w:type="dxa"/>
              <w:right w:w="113" w:type="dxa"/>
            </w:tcMar>
            <w:vAlign w:val="center"/>
          </w:tcPr>
          <w:p>
            <w:pPr>
              <w:pStyle w:val="23"/>
              <w:wordWrap w:val="0"/>
              <w:adjustRightInd/>
              <w:snapToGrid w:val="0"/>
              <w:jc w:val="both"/>
              <w:rPr>
                <w:sz w:val="21"/>
                <w:szCs w:val="21"/>
                <w:lang w:val="zh-CN"/>
              </w:rPr>
            </w:pPr>
            <w:r>
              <w:rPr>
                <w:rFonts w:hint="eastAsia"/>
                <w:sz w:val="21"/>
                <w:szCs w:val="21"/>
              </w:rPr>
              <w:t>采购人通知领取成交通知书后，成交供应商应在3日内领取成交通知书，领取后7天内与采购人签订合同，逾期不领取成交通知书或不签订合同的，顺延至第二成交供应商或重新采购。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lang w:val="zh-CN"/>
              </w:rPr>
            </w:pPr>
            <w:r>
              <w:rPr>
                <w:rFonts w:hint="eastAsia"/>
                <w:sz w:val="21"/>
                <w:szCs w:val="21"/>
              </w:rPr>
              <w:t>23</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rPr>
              <w:t>竞争性磋商采购代理服务费</w:t>
            </w:r>
          </w:p>
        </w:tc>
        <w:tc>
          <w:tcPr>
            <w:tcW w:w="5333" w:type="dxa"/>
            <w:tcMar>
              <w:left w:w="113" w:type="dxa"/>
              <w:right w:w="113" w:type="dxa"/>
            </w:tcMar>
            <w:vAlign w:val="center"/>
          </w:tcPr>
          <w:p>
            <w:pPr>
              <w:pStyle w:val="23"/>
              <w:adjustRightInd/>
              <w:snapToGrid w:val="0"/>
              <w:jc w:val="both"/>
              <w:rPr>
                <w:sz w:val="21"/>
                <w:szCs w:val="21"/>
              </w:rPr>
            </w:pPr>
            <w:r>
              <w:rPr>
                <w:rFonts w:hint="eastAsia"/>
                <w:sz w:val="22"/>
              </w:rPr>
              <w:t>招标采购代理服务费包干元整，响应单位自行考虑进投标总价中，报价时不需要单列，此费用由成交供应商在领取成交通知书前支付，代理机构不再向采购人收取。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24</w:t>
            </w:r>
          </w:p>
        </w:tc>
        <w:tc>
          <w:tcPr>
            <w:tcW w:w="2920" w:type="dxa"/>
            <w:tcMar>
              <w:left w:w="113" w:type="dxa"/>
              <w:right w:w="113" w:type="dxa"/>
            </w:tcMar>
            <w:vAlign w:val="center"/>
          </w:tcPr>
          <w:p>
            <w:pPr>
              <w:pStyle w:val="23"/>
              <w:wordWrap w:val="0"/>
              <w:adjustRightInd/>
              <w:snapToGrid w:val="0"/>
              <w:jc w:val="both"/>
              <w:rPr>
                <w:sz w:val="21"/>
                <w:szCs w:val="21"/>
              </w:rPr>
            </w:pPr>
            <w:r>
              <w:rPr>
                <w:rFonts w:hint="eastAsia"/>
                <w:sz w:val="21"/>
                <w:szCs w:val="21"/>
              </w:rPr>
              <w:t>对中小型企业的价格扣除</w:t>
            </w:r>
          </w:p>
          <w:p>
            <w:pPr>
              <w:pStyle w:val="23"/>
              <w:wordWrap w:val="0"/>
              <w:adjustRightInd/>
              <w:snapToGrid w:val="0"/>
              <w:jc w:val="both"/>
              <w:rPr>
                <w:sz w:val="21"/>
                <w:szCs w:val="21"/>
              </w:rPr>
            </w:pPr>
            <w:r>
              <w:rPr>
                <w:rFonts w:hint="eastAsia"/>
                <w:sz w:val="22"/>
              </w:rPr>
              <w:t>（本项目不采用）</w:t>
            </w:r>
          </w:p>
        </w:tc>
        <w:tc>
          <w:tcPr>
            <w:tcW w:w="5333" w:type="dxa"/>
            <w:tcMar>
              <w:left w:w="113" w:type="dxa"/>
              <w:right w:w="113" w:type="dxa"/>
            </w:tcMar>
            <w:vAlign w:val="center"/>
          </w:tcPr>
          <w:p>
            <w:pPr>
              <w:pStyle w:val="23"/>
              <w:adjustRightInd/>
              <w:snapToGrid w:val="0"/>
              <w:jc w:val="both"/>
              <w:rPr>
                <w:sz w:val="22"/>
              </w:rPr>
            </w:pPr>
            <w:r>
              <w:rPr>
                <w:rFonts w:hint="eastAsia"/>
                <w:sz w:val="22"/>
              </w:rPr>
              <w:t>本项目符合下列条件的应按扣除后的价格参加评审：</w:t>
            </w:r>
          </w:p>
          <w:p>
            <w:pPr>
              <w:pStyle w:val="23"/>
              <w:adjustRightInd/>
              <w:snapToGrid w:val="0"/>
              <w:jc w:val="both"/>
              <w:rPr>
                <w:sz w:val="22"/>
              </w:rPr>
            </w:pPr>
            <w:r>
              <w:rPr>
                <w:rFonts w:hint="eastAsia"/>
                <w:sz w:val="22"/>
              </w:rPr>
              <w:t>小型和微型企业价格扣除：</w:t>
            </w:r>
            <w:r>
              <w:rPr>
                <w:rFonts w:hint="eastAsia"/>
                <w:sz w:val="22"/>
                <w:u w:val="single"/>
              </w:rPr>
              <w:t xml:space="preserve">/ </w:t>
            </w:r>
            <w:r>
              <w:rPr>
                <w:rFonts w:hint="eastAsia"/>
                <w:sz w:val="22"/>
              </w:rPr>
              <w:t xml:space="preserve">%。 </w:t>
            </w:r>
          </w:p>
          <w:p>
            <w:pPr>
              <w:pStyle w:val="23"/>
              <w:adjustRightInd/>
              <w:snapToGrid w:val="0"/>
              <w:jc w:val="both"/>
              <w:rPr>
                <w:sz w:val="22"/>
              </w:rPr>
            </w:pPr>
            <w:r>
              <w:rPr>
                <w:rFonts w:hint="eastAsia"/>
                <w:sz w:val="22"/>
              </w:rPr>
              <w:t>符合条件的联合体价格扣除：</w:t>
            </w:r>
            <w:r>
              <w:rPr>
                <w:rFonts w:hint="eastAsia"/>
                <w:sz w:val="22"/>
                <w:u w:val="single"/>
              </w:rPr>
              <w:t xml:space="preserve">/ </w:t>
            </w:r>
            <w:r>
              <w:rPr>
                <w:rFonts w:hint="eastAsia"/>
                <w:sz w:val="22"/>
              </w:rPr>
              <w:t>%。</w:t>
            </w:r>
          </w:p>
          <w:p>
            <w:pPr>
              <w:pStyle w:val="23"/>
              <w:adjustRightInd/>
              <w:snapToGrid w:val="0"/>
              <w:jc w:val="both"/>
              <w:rPr>
                <w:sz w:val="22"/>
              </w:rPr>
            </w:pPr>
            <w:r>
              <w:rPr>
                <w:rFonts w:hint="eastAsia"/>
                <w:sz w:val="22"/>
              </w:rPr>
              <w:t>符合条件的向小微企业分包的大中型企业价格扣除：</w:t>
            </w:r>
            <w:r>
              <w:rPr>
                <w:rFonts w:hint="eastAsia"/>
                <w:sz w:val="22"/>
                <w:u w:val="single"/>
              </w:rPr>
              <w:t xml:space="preserve">/ </w:t>
            </w:r>
            <w:r>
              <w:rPr>
                <w:rFonts w:hint="eastAsia"/>
                <w:sz w:val="22"/>
              </w:rPr>
              <w:t>%。</w:t>
            </w:r>
          </w:p>
          <w:p>
            <w:pPr>
              <w:pStyle w:val="23"/>
              <w:adjustRightInd/>
              <w:snapToGrid w:val="0"/>
              <w:jc w:val="both"/>
              <w:rPr>
                <w:sz w:val="22"/>
              </w:rPr>
            </w:pPr>
            <w:r>
              <w:rPr>
                <w:rFonts w:hint="eastAsia"/>
                <w:sz w:val="22"/>
              </w:rPr>
              <w:t>监狱企业价格扣除：同小型和微型企业；</w:t>
            </w:r>
          </w:p>
          <w:p>
            <w:pPr>
              <w:pStyle w:val="23"/>
              <w:adjustRightInd/>
              <w:snapToGrid w:val="0"/>
              <w:jc w:val="both"/>
              <w:rPr>
                <w:sz w:val="22"/>
              </w:rPr>
            </w:pPr>
            <w:r>
              <w:rPr>
                <w:rFonts w:hint="eastAsia"/>
                <w:sz w:val="22"/>
              </w:rPr>
              <w:t>残疾人福利性单位价格扣除：同小型和微型企业。</w:t>
            </w:r>
          </w:p>
          <w:p>
            <w:pPr>
              <w:pStyle w:val="23"/>
              <w:wordWrap w:val="0"/>
              <w:adjustRightInd/>
              <w:snapToGrid w:val="0"/>
              <w:jc w:val="both"/>
              <w:rPr>
                <w:sz w:val="21"/>
                <w:szCs w:val="21"/>
              </w:rPr>
            </w:pPr>
            <w:r>
              <w:rPr>
                <w:rFonts w:hint="eastAsia"/>
                <w:sz w:val="22"/>
              </w:rPr>
              <w:t>三首、创新产品价格扣除：</w:t>
            </w:r>
            <w:r>
              <w:rPr>
                <w:rFonts w:hint="eastAsia"/>
                <w:sz w:val="22"/>
                <w:u w:val="single"/>
              </w:rPr>
              <w:t>10</w:t>
            </w:r>
            <w:r>
              <w:rPr>
                <w:rFonts w:hint="eastAsia"/>
                <w:sz w:val="22"/>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25</w:t>
            </w:r>
          </w:p>
        </w:tc>
        <w:tc>
          <w:tcPr>
            <w:tcW w:w="2920" w:type="dxa"/>
            <w:tcMar>
              <w:left w:w="113" w:type="dxa"/>
              <w:right w:w="113" w:type="dxa"/>
            </w:tcMar>
            <w:vAlign w:val="center"/>
          </w:tcPr>
          <w:p>
            <w:pPr>
              <w:pStyle w:val="23"/>
              <w:wordWrap w:val="0"/>
              <w:adjustRightInd/>
              <w:snapToGrid w:val="0"/>
              <w:jc w:val="both"/>
              <w:rPr>
                <w:sz w:val="22"/>
              </w:rPr>
            </w:pPr>
            <w:r>
              <w:rPr>
                <w:rFonts w:hint="eastAsia"/>
                <w:sz w:val="22"/>
              </w:rPr>
              <w:t>履约补偿机制</w:t>
            </w:r>
          </w:p>
        </w:tc>
        <w:tc>
          <w:tcPr>
            <w:tcW w:w="5333" w:type="dxa"/>
            <w:tcMar>
              <w:left w:w="113" w:type="dxa"/>
              <w:right w:w="113" w:type="dxa"/>
            </w:tcMar>
            <w:vAlign w:val="center"/>
          </w:tcPr>
          <w:p>
            <w:pPr>
              <w:pStyle w:val="23"/>
              <w:wordWrap w:val="0"/>
              <w:adjustRightInd/>
              <w:snapToGrid w:val="0"/>
              <w:jc w:val="both"/>
              <w:rPr>
                <w:sz w:val="22"/>
              </w:rPr>
            </w:pPr>
            <w:r>
              <w:rPr>
                <w:rFonts w:hint="eastAsia"/>
                <w:sz w:val="22"/>
              </w:rPr>
              <w:t>①采购人依法确定成交供应商，应在7个工作日内组织签订采购合同，自觉履行合同约定义务，及时组织履约验收。②成交供应商拒绝与采购人签订合同的，采购人可以按照评审报告推荐的成交候选人名单排序，确定第二成交供应商为成交供应商或重新开展采购活动。③如有延期返还履约保证金、延期支付合同款项，或因采购人原因导致变更、中止或终止政府采购合同的，应依照合同约定对供应商受到的损失予以赔偿或补偿。对因政策变化等原因不能签订合同，造成企业合法利益受损的情形，采购人应与供应商充分协商，给予合理补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tcMar>
              <w:left w:w="113" w:type="dxa"/>
              <w:right w:w="113" w:type="dxa"/>
            </w:tcMar>
            <w:vAlign w:val="center"/>
          </w:tcPr>
          <w:p>
            <w:pPr>
              <w:pStyle w:val="23"/>
              <w:wordWrap w:val="0"/>
              <w:adjustRightInd/>
              <w:snapToGrid w:val="0"/>
              <w:jc w:val="center"/>
              <w:rPr>
                <w:sz w:val="21"/>
                <w:szCs w:val="21"/>
              </w:rPr>
            </w:pPr>
            <w:r>
              <w:rPr>
                <w:rFonts w:hint="eastAsia"/>
                <w:sz w:val="21"/>
                <w:szCs w:val="21"/>
              </w:rPr>
              <w:t>26</w:t>
            </w:r>
          </w:p>
        </w:tc>
        <w:tc>
          <w:tcPr>
            <w:tcW w:w="2920" w:type="dxa"/>
            <w:tcMar>
              <w:left w:w="113" w:type="dxa"/>
              <w:right w:w="113" w:type="dxa"/>
            </w:tcMar>
            <w:vAlign w:val="center"/>
          </w:tcPr>
          <w:p>
            <w:pPr>
              <w:pStyle w:val="23"/>
              <w:wordWrap w:val="0"/>
              <w:adjustRightInd/>
              <w:snapToGrid w:val="0"/>
              <w:jc w:val="both"/>
              <w:rPr>
                <w:sz w:val="22"/>
              </w:rPr>
            </w:pPr>
            <w:r>
              <w:rPr>
                <w:rFonts w:hint="eastAsia"/>
                <w:sz w:val="22"/>
              </w:rPr>
              <w:t>招标代理服务费</w:t>
            </w:r>
          </w:p>
        </w:tc>
        <w:tc>
          <w:tcPr>
            <w:tcW w:w="5333" w:type="dxa"/>
            <w:tcMar>
              <w:left w:w="113" w:type="dxa"/>
              <w:right w:w="113" w:type="dxa"/>
            </w:tcMar>
            <w:vAlign w:val="center"/>
          </w:tcPr>
          <w:p>
            <w:pPr>
              <w:pStyle w:val="23"/>
              <w:wordWrap w:val="0"/>
              <w:adjustRightInd/>
              <w:snapToGrid w:val="0"/>
              <w:jc w:val="both"/>
              <w:rPr>
                <w:sz w:val="22"/>
              </w:rPr>
            </w:pPr>
            <w:r>
              <w:rPr>
                <w:rFonts w:hint="eastAsia"/>
                <w:sz w:val="22"/>
              </w:rPr>
              <w:t>3000元，由中标单位在领取中标通知书时支付给招标代理机构。招标人不再支付其招标代理服务等相关费用</w:t>
            </w:r>
          </w:p>
        </w:tc>
      </w:tr>
    </w:tbl>
    <w:p>
      <w:pPr>
        <w:snapToGrid w:val="0"/>
        <w:spacing w:line="360" w:lineRule="auto"/>
        <w:jc w:val="center"/>
        <w:rPr>
          <w:rFonts w:asciiTheme="minorEastAsia" w:hAnsiTheme="minorEastAsia" w:eastAsiaTheme="minorEastAsia" w:cstheme="minorEastAsia"/>
          <w:b/>
          <w:sz w:val="28"/>
          <w:szCs w:val="28"/>
        </w:rPr>
      </w:pPr>
      <w:r>
        <w:rPr>
          <w:rFonts w:ascii="仿宋_GB2312" w:hAnsi="仿宋_GB2312" w:eastAsia="仿宋_GB2312" w:cs="仿宋_GB2312"/>
        </w:rPr>
        <w:br w:type="page"/>
      </w:r>
      <w:bookmarkEnd w:id="3"/>
      <w:r>
        <w:rPr>
          <w:rFonts w:hint="eastAsia" w:asciiTheme="minorEastAsia" w:hAnsiTheme="minorEastAsia" w:eastAsiaTheme="minorEastAsia" w:cstheme="minorEastAsia"/>
          <w:b/>
          <w:sz w:val="28"/>
          <w:szCs w:val="28"/>
        </w:rPr>
        <w:t>第三章、磋商响应供应商须知</w:t>
      </w:r>
    </w:p>
    <w:p>
      <w:pPr>
        <w:spacing w:line="360" w:lineRule="auto"/>
        <w:ind w:firstLine="422" w:firstLineChars="200"/>
        <w:rPr>
          <w:rFonts w:ascii="宋体" w:hAnsi="宋体" w:cs="宋体"/>
          <w:b/>
          <w:bCs/>
        </w:rPr>
      </w:pPr>
      <w:r>
        <w:rPr>
          <w:rFonts w:hint="eastAsia" w:ascii="宋体" w:hAnsi="宋体" w:cs="宋体"/>
          <w:b/>
          <w:bCs/>
        </w:rPr>
        <w:t>一、总则</w:t>
      </w:r>
    </w:p>
    <w:p>
      <w:pPr>
        <w:spacing w:line="360" w:lineRule="auto"/>
        <w:ind w:firstLine="420" w:firstLineChars="200"/>
        <w:rPr>
          <w:rFonts w:ascii="宋体" w:hAnsi="宋体" w:cs="宋体"/>
        </w:rPr>
      </w:pPr>
      <w:r>
        <w:rPr>
          <w:rFonts w:hint="eastAsia" w:ascii="宋体" w:hAnsi="宋体" w:cs="宋体"/>
        </w:rPr>
        <w:t>1、本竞争性磋商文件仅适用于本次竞争性磋商的服务项目。采购代理接受采购人委托，根据采购人提交的服务要求，对此项目进行采购代理，编制竞争性磋商文件，组织开评标活动。</w:t>
      </w:r>
    </w:p>
    <w:p>
      <w:pPr>
        <w:spacing w:line="360" w:lineRule="auto"/>
        <w:ind w:firstLine="420" w:firstLineChars="200"/>
        <w:rPr>
          <w:rFonts w:ascii="宋体" w:hAnsi="宋体" w:cs="宋体"/>
        </w:rPr>
      </w:pPr>
      <w:r>
        <w:rPr>
          <w:rFonts w:hint="eastAsia" w:ascii="宋体" w:hAnsi="宋体" w:cs="宋体"/>
        </w:rPr>
        <w:t>2、本次竞争性磋商的服务系指除货物和工程以外的其他政府采购对象。无论竞争性磋商文件是否列明，供应商所提供的服务必须符合国家相关现行法律法规的规定，否则磋商响应无效。本竞争性磋商文件所要求的证书、认证、资质，均应当是有权机构颁发，且在有效期内。</w:t>
      </w:r>
    </w:p>
    <w:p>
      <w:pPr>
        <w:spacing w:line="360" w:lineRule="auto"/>
        <w:ind w:firstLine="422" w:firstLineChars="200"/>
        <w:rPr>
          <w:rFonts w:ascii="宋体" w:hAnsi="宋体" w:cs="宋体"/>
          <w:b/>
          <w:bCs/>
        </w:rPr>
      </w:pPr>
      <w:r>
        <w:rPr>
          <w:rFonts w:hint="eastAsia" w:ascii="宋体" w:hAnsi="宋体" w:cs="宋体"/>
          <w:b/>
          <w:bCs/>
        </w:rPr>
        <w:t>二、磋商文件</w:t>
      </w:r>
    </w:p>
    <w:p>
      <w:pPr>
        <w:spacing w:line="360" w:lineRule="auto"/>
        <w:ind w:firstLine="420" w:firstLineChars="200"/>
        <w:rPr>
          <w:rFonts w:ascii="宋体" w:hAnsi="宋体" w:cs="宋体"/>
        </w:rPr>
      </w:pPr>
      <w:r>
        <w:rPr>
          <w:rFonts w:hint="eastAsia" w:ascii="宋体" w:hAnsi="宋体" w:cs="宋体"/>
        </w:rPr>
        <w:t>3、供应商应当按照磋商文件的要求编制磋商响应文件。磋商响应文件应对磋商文件提出的要求和条件作出实质性响应。供应商应认真阅读和充分理解磋商文件中所有的内容。如果供应商没有满足磋商文件的有关要求，其风险由供应商自行承担。</w:t>
      </w:r>
    </w:p>
    <w:p>
      <w:pPr>
        <w:spacing w:line="360" w:lineRule="auto"/>
        <w:ind w:firstLine="420" w:firstLineChars="200"/>
        <w:rPr>
          <w:rFonts w:ascii="宋体" w:hAnsi="宋体" w:cs="宋体"/>
        </w:rPr>
      </w:pPr>
      <w:r>
        <w:rPr>
          <w:rFonts w:hint="eastAsia" w:ascii="宋体" w:hAnsi="宋体" w:cs="宋体"/>
        </w:rPr>
        <w:t>4、供应商获取磋商文件后，应仔细检查磋商文件的所有内容，如有残缺、疑问等问题应向采购代理机构提出，否则，由此引起的损失由供应商自行承担。</w:t>
      </w:r>
    </w:p>
    <w:p>
      <w:pPr>
        <w:spacing w:line="360" w:lineRule="auto"/>
        <w:ind w:firstLine="420" w:firstLineChars="200"/>
        <w:rPr>
          <w:rFonts w:ascii="宋体" w:hAnsi="宋体" w:cs="宋体"/>
        </w:rPr>
      </w:pPr>
      <w:r>
        <w:rPr>
          <w:rFonts w:hint="eastAsia" w:ascii="宋体" w:hAnsi="宋体" w:cs="宋体"/>
        </w:rPr>
        <w:t>5、答疑及磋商文件的澄清与修改</w:t>
      </w:r>
    </w:p>
    <w:p>
      <w:pPr>
        <w:spacing w:line="360" w:lineRule="auto"/>
        <w:ind w:firstLine="420" w:firstLineChars="200"/>
        <w:rPr>
          <w:rFonts w:ascii="宋体" w:hAnsi="宋体" w:cs="宋体"/>
        </w:rPr>
      </w:pPr>
      <w:r>
        <w:rPr>
          <w:rFonts w:hint="eastAsia" w:ascii="宋体" w:hAnsi="宋体" w:cs="宋体"/>
        </w:rPr>
        <w:t>5.1供应商可以要求采购单位对磋商文件中的有关问题进行答疑、澄清。</w:t>
      </w:r>
    </w:p>
    <w:p>
      <w:pPr>
        <w:spacing w:line="360" w:lineRule="auto"/>
        <w:ind w:firstLine="420" w:firstLineChars="200"/>
        <w:rPr>
          <w:rFonts w:ascii="宋体" w:hAnsi="宋体" w:cs="宋体"/>
        </w:rPr>
      </w:pPr>
      <w:r>
        <w:rPr>
          <w:rFonts w:hint="eastAsia" w:ascii="宋体" w:hAnsi="宋体" w:cs="宋体"/>
        </w:rPr>
        <w:t>5.2供应商对磋商文件如有疑问，须按磋商公告中的联系方式，以书面形式（如传真、信件等）通知采购人和采购代理机构。未在规定时间提出疑问的，将不予答复。在此规定时间以前收到的、且需要做出澄清的问题，将以公告的形式告知所有供应商，但不说明问题的来源。因此，供应商无论是否提出过澄清的要求，均应上网查看是否有关本项目的澄清说明。</w:t>
      </w:r>
    </w:p>
    <w:p>
      <w:pPr>
        <w:spacing w:line="360" w:lineRule="auto"/>
        <w:ind w:firstLine="420" w:firstLineChars="200"/>
        <w:rPr>
          <w:rFonts w:ascii="宋体" w:hAnsi="宋体" w:cs="宋体"/>
        </w:rPr>
      </w:pPr>
      <w:r>
        <w:rPr>
          <w:rFonts w:hint="eastAsia" w:ascii="宋体" w:hAnsi="宋体" w:cs="宋体"/>
        </w:rPr>
        <w:t>6、磋商文件的修改</w:t>
      </w:r>
    </w:p>
    <w:p>
      <w:pPr>
        <w:spacing w:line="360" w:lineRule="auto"/>
        <w:ind w:firstLine="420" w:firstLineChars="200"/>
        <w:rPr>
          <w:rFonts w:ascii="宋体" w:hAnsi="宋体" w:cs="宋体"/>
        </w:rPr>
      </w:pPr>
      <w:r>
        <w:rPr>
          <w:rFonts w:hint="eastAsia" w:ascii="宋体" w:hAnsi="宋体" w:cs="宋体"/>
        </w:rPr>
        <w:t>6.1在某些情况下，采购人可能对磋商文件进行修改。</w:t>
      </w:r>
    </w:p>
    <w:p>
      <w:pPr>
        <w:spacing w:line="360" w:lineRule="auto"/>
        <w:ind w:firstLine="420" w:firstLineChars="200"/>
        <w:rPr>
          <w:rFonts w:ascii="宋体" w:hAnsi="宋体" w:cs="宋体"/>
        </w:rPr>
      </w:pPr>
      <w:r>
        <w:rPr>
          <w:rFonts w:hint="eastAsia" w:ascii="宋体" w:hAnsi="宋体" w:cs="宋体"/>
        </w:rPr>
        <w:t>6.2采购人对磋商文件的修改，将以补充公告的形式通知所有供应商，并对所有供应商具有约束力。</w:t>
      </w:r>
    </w:p>
    <w:p>
      <w:pPr>
        <w:spacing w:line="360" w:lineRule="auto"/>
        <w:ind w:firstLine="420" w:firstLineChars="200"/>
        <w:rPr>
          <w:rFonts w:ascii="宋体" w:hAnsi="宋体" w:cs="宋体"/>
        </w:rPr>
      </w:pPr>
      <w:r>
        <w:rPr>
          <w:rFonts w:hint="eastAsia" w:ascii="宋体" w:hAnsi="宋体" w:cs="宋体"/>
        </w:rPr>
        <w:t>6.3为使供应商有充分时间对磋商文件的修改部分进行研究或由于其他原因，采购人可以决定延长磋商响应截止日期，并以补充公告的形式将变更时间通知所有供应商。</w:t>
      </w:r>
    </w:p>
    <w:p>
      <w:pPr>
        <w:spacing w:line="360" w:lineRule="auto"/>
        <w:ind w:firstLine="420" w:firstLineChars="200"/>
        <w:rPr>
          <w:rFonts w:ascii="宋体" w:hAnsi="宋体" w:cs="宋体"/>
        </w:rPr>
      </w:pPr>
      <w:r>
        <w:rPr>
          <w:rFonts w:hint="eastAsia" w:ascii="宋体" w:hAnsi="宋体" w:cs="宋体"/>
        </w:rPr>
        <w:t>7、提交保证金</w:t>
      </w:r>
    </w:p>
    <w:p>
      <w:pPr>
        <w:spacing w:line="360" w:lineRule="auto"/>
        <w:ind w:firstLine="420" w:firstLineChars="200"/>
        <w:rPr>
          <w:rFonts w:ascii="宋体" w:hAnsi="宋体" w:cs="宋体"/>
        </w:rPr>
      </w:pPr>
      <w:r>
        <w:rPr>
          <w:rFonts w:hint="eastAsia" w:ascii="宋体" w:hAnsi="宋体" w:cs="宋体"/>
        </w:rPr>
        <w:t>7.1磋商响应保证金账截止时间为磋商公告规定的时间。磋商响应保证金必须从供应商基本账户汇入到指定账户。</w:t>
      </w:r>
    </w:p>
    <w:p>
      <w:pPr>
        <w:spacing w:line="360" w:lineRule="auto"/>
        <w:ind w:firstLine="420" w:firstLineChars="200"/>
        <w:rPr>
          <w:rFonts w:ascii="宋体" w:hAnsi="宋体" w:cs="宋体"/>
        </w:rPr>
      </w:pPr>
      <w:r>
        <w:rPr>
          <w:rFonts w:hint="eastAsia" w:ascii="宋体" w:hAnsi="宋体" w:cs="宋体"/>
        </w:rPr>
        <w:t>7.2开标时出现下列情形之一的，拒绝其投标。</w:t>
      </w:r>
    </w:p>
    <w:p>
      <w:pPr>
        <w:spacing w:line="360" w:lineRule="auto"/>
        <w:ind w:firstLine="420" w:firstLineChars="200"/>
        <w:rPr>
          <w:rFonts w:ascii="宋体" w:hAnsi="宋体" w:cs="宋体"/>
        </w:rPr>
      </w:pPr>
      <w:r>
        <w:rPr>
          <w:rFonts w:hint="eastAsia" w:ascii="宋体" w:hAnsi="宋体" w:cs="宋体"/>
        </w:rPr>
        <w:t>7.2.1未在投标截止时间前提交磋商响应文件的；</w:t>
      </w:r>
    </w:p>
    <w:p>
      <w:pPr>
        <w:spacing w:line="360" w:lineRule="auto"/>
        <w:ind w:firstLine="420" w:firstLineChars="200"/>
        <w:rPr>
          <w:rFonts w:ascii="宋体" w:hAnsi="宋体" w:cs="宋体"/>
        </w:rPr>
      </w:pPr>
      <w:r>
        <w:rPr>
          <w:rFonts w:hint="eastAsia" w:ascii="宋体" w:hAnsi="宋体" w:cs="宋体"/>
        </w:rPr>
        <w:t>7.2.2磋商响应保证金汇入账户必须与企业基本账户信息完全一致，开标前未到达指定账户或账户信息不匹配的磋商响应文件不予接受。</w:t>
      </w:r>
    </w:p>
    <w:p>
      <w:pPr>
        <w:spacing w:line="360" w:lineRule="auto"/>
        <w:ind w:firstLine="422" w:firstLineChars="200"/>
        <w:rPr>
          <w:rFonts w:ascii="宋体" w:hAnsi="宋体" w:cs="宋体"/>
          <w:b/>
          <w:bCs/>
        </w:rPr>
      </w:pPr>
      <w:r>
        <w:rPr>
          <w:rFonts w:hint="eastAsia" w:ascii="宋体" w:hAnsi="宋体" w:cs="宋体"/>
          <w:b/>
          <w:bCs/>
        </w:rPr>
        <w:t>三、供应商</w:t>
      </w:r>
    </w:p>
    <w:p>
      <w:pPr>
        <w:spacing w:line="360" w:lineRule="auto"/>
        <w:ind w:firstLine="420" w:firstLineChars="200"/>
        <w:rPr>
          <w:rFonts w:ascii="宋体" w:hAnsi="宋体" w:cs="宋体"/>
        </w:rPr>
      </w:pPr>
      <w:r>
        <w:rPr>
          <w:rFonts w:hint="eastAsia" w:ascii="宋体" w:hAnsi="宋体" w:cs="宋体"/>
        </w:rPr>
        <w:t>8、磋商响应费用。</w:t>
      </w:r>
    </w:p>
    <w:p>
      <w:pPr>
        <w:spacing w:line="360" w:lineRule="auto"/>
        <w:ind w:firstLine="420" w:firstLineChars="200"/>
        <w:rPr>
          <w:rFonts w:ascii="宋体" w:hAnsi="宋体" w:cs="宋体"/>
        </w:rPr>
      </w:pPr>
      <w:r>
        <w:rPr>
          <w:rFonts w:hint="eastAsia" w:ascii="宋体" w:hAnsi="宋体" w:cs="宋体"/>
        </w:rPr>
        <w:t>供应商必须自行承担所有与参加磋商响应有关的一切费用。不论磋商响应的结果如何，采购人和采购机构在任何情况下均无义务和责任承担这些费用。</w:t>
      </w:r>
    </w:p>
    <w:p>
      <w:pPr>
        <w:spacing w:line="360" w:lineRule="auto"/>
        <w:ind w:firstLine="420" w:firstLineChars="200"/>
        <w:rPr>
          <w:rFonts w:ascii="宋体" w:hAnsi="宋体" w:cs="宋体"/>
        </w:rPr>
      </w:pPr>
      <w:r>
        <w:rPr>
          <w:rFonts w:hint="eastAsia" w:ascii="宋体" w:hAnsi="宋体" w:cs="宋体"/>
        </w:rPr>
        <w:t>9、合格的供应商</w:t>
      </w:r>
    </w:p>
    <w:p>
      <w:pPr>
        <w:spacing w:line="360" w:lineRule="auto"/>
        <w:ind w:firstLine="420" w:firstLineChars="200"/>
        <w:rPr>
          <w:rFonts w:ascii="宋体" w:hAnsi="宋体" w:cs="宋体"/>
        </w:rPr>
      </w:pPr>
      <w:r>
        <w:rPr>
          <w:rFonts w:hint="eastAsia" w:ascii="宋体" w:hAnsi="宋体" w:cs="宋体"/>
        </w:rPr>
        <w:t>9.1合格的供应商应当满足本项目采购文件所载明须满足的最低条件。</w:t>
      </w:r>
    </w:p>
    <w:p>
      <w:pPr>
        <w:spacing w:line="360" w:lineRule="auto"/>
        <w:ind w:firstLine="420" w:firstLineChars="200"/>
        <w:rPr>
          <w:rFonts w:ascii="宋体" w:hAnsi="宋体" w:cs="宋体"/>
        </w:rPr>
      </w:pPr>
      <w:r>
        <w:rPr>
          <w:rFonts w:hint="eastAsia" w:ascii="宋体" w:hAnsi="宋体" w:cs="宋体"/>
        </w:rPr>
        <w:t>9.2供应商之间如果存在下列情形之一的，且参加同一标段（包别）或者不分标段（包别）的同一项目磋商响应，相关供应商均按无效标进行处理：</w:t>
      </w:r>
    </w:p>
    <w:p>
      <w:pPr>
        <w:spacing w:line="360" w:lineRule="auto"/>
        <w:ind w:firstLine="420" w:firstLineChars="200"/>
        <w:rPr>
          <w:rFonts w:ascii="宋体" w:hAnsi="宋体" w:cs="宋体"/>
        </w:rPr>
      </w:pPr>
      <w:r>
        <w:rPr>
          <w:rFonts w:hint="eastAsia" w:ascii="宋体" w:hAnsi="宋体" w:cs="宋体"/>
        </w:rPr>
        <w:t>9.2.1法定代表人为同一个人的两个及两个以上法人；</w:t>
      </w:r>
    </w:p>
    <w:p>
      <w:pPr>
        <w:spacing w:line="360" w:lineRule="auto"/>
        <w:ind w:firstLine="420" w:firstLineChars="200"/>
        <w:rPr>
          <w:rFonts w:ascii="宋体" w:hAnsi="宋体" w:cs="宋体"/>
        </w:rPr>
      </w:pPr>
      <w:r>
        <w:rPr>
          <w:rFonts w:hint="eastAsia" w:ascii="宋体" w:hAnsi="宋体" w:cs="宋体"/>
        </w:rPr>
        <w:t>9.2.2母公司、全资子公司及其控股公司；</w:t>
      </w:r>
    </w:p>
    <w:p>
      <w:pPr>
        <w:spacing w:line="360" w:lineRule="auto"/>
        <w:ind w:firstLine="420" w:firstLineChars="200"/>
        <w:rPr>
          <w:rFonts w:ascii="宋体" w:hAnsi="宋体" w:cs="宋体"/>
        </w:rPr>
      </w:pPr>
      <w:r>
        <w:rPr>
          <w:rFonts w:hint="eastAsia" w:ascii="宋体" w:hAnsi="宋体" w:cs="宋体"/>
        </w:rPr>
        <w:t>9.2.3参加磋商响应的其他组织之间存在特殊的利害关系的；</w:t>
      </w:r>
    </w:p>
    <w:p>
      <w:pPr>
        <w:spacing w:line="360" w:lineRule="auto"/>
        <w:ind w:firstLine="420" w:firstLineChars="200"/>
        <w:rPr>
          <w:rFonts w:ascii="宋体" w:hAnsi="宋体" w:cs="宋体"/>
        </w:rPr>
      </w:pPr>
      <w:r>
        <w:rPr>
          <w:rFonts w:hint="eastAsia" w:ascii="宋体" w:hAnsi="宋体" w:cs="宋体"/>
        </w:rPr>
        <w:t>9.2.4法律和行政法规规定的其他情形。</w:t>
      </w:r>
    </w:p>
    <w:p>
      <w:pPr>
        <w:spacing w:line="360" w:lineRule="auto"/>
        <w:ind w:firstLine="420" w:firstLineChars="200"/>
        <w:rPr>
          <w:rFonts w:ascii="宋体" w:hAnsi="宋体" w:cs="宋体"/>
        </w:rPr>
      </w:pPr>
      <w:r>
        <w:rPr>
          <w:rFonts w:hint="eastAsia" w:ascii="宋体" w:hAnsi="宋体" w:cs="宋体"/>
        </w:rPr>
        <w:t>10、勘察现场</w:t>
      </w:r>
    </w:p>
    <w:p>
      <w:pPr>
        <w:spacing w:line="360" w:lineRule="auto"/>
        <w:ind w:firstLine="420" w:firstLineChars="200"/>
        <w:rPr>
          <w:rFonts w:ascii="宋体" w:hAnsi="宋体" w:cs="宋体"/>
        </w:rPr>
      </w:pPr>
      <w:r>
        <w:rPr>
          <w:rFonts w:hint="eastAsia" w:ascii="宋体" w:hAnsi="宋体" w:cs="宋体"/>
        </w:rPr>
        <w:t>10.1供应商应自行对供货现场和周围环境进行勘察，以获取编制磋商响应文件和签署合同所需的资料。勘察现场的方式、地址及联系方式见供应商须知前附表。</w:t>
      </w:r>
    </w:p>
    <w:p>
      <w:pPr>
        <w:spacing w:line="360" w:lineRule="auto"/>
        <w:ind w:firstLine="420" w:firstLineChars="200"/>
        <w:rPr>
          <w:rFonts w:ascii="宋体" w:hAnsi="宋体" w:cs="宋体"/>
        </w:rPr>
      </w:pPr>
      <w:r>
        <w:rPr>
          <w:rFonts w:hint="eastAsia" w:ascii="宋体" w:hAnsi="宋体" w:cs="宋体"/>
        </w:rPr>
        <w:t>10.2勘察现场所发生的费用由供应商自行承担。采购人向供应商提供的有关现场的资料和数据，是采购人现有的能使供应商利用的资料。采购人对供应商由此而做出的推论、理解和结论概不负责。供应商未到现场实地踏勘的，成交后签订合同时和履约过程中，不得以不完全了解现场情况为由，提出任何形式的增加合同价款或索赔的要求。</w:t>
      </w:r>
    </w:p>
    <w:p>
      <w:pPr>
        <w:spacing w:line="360" w:lineRule="auto"/>
        <w:ind w:firstLine="420" w:firstLineChars="200"/>
        <w:rPr>
          <w:rFonts w:ascii="宋体" w:hAnsi="宋体" w:cs="宋体"/>
        </w:rPr>
      </w:pPr>
      <w:r>
        <w:rPr>
          <w:rFonts w:hint="eastAsia" w:ascii="宋体" w:hAnsi="宋体" w:cs="宋体"/>
        </w:rPr>
        <w:t>10.3除非有特殊要求，磋商文件不单独提供现场的自然环境、气候条件、公用设施等情况，供应商被视为熟悉上述与履行合同有关的一切情况。</w:t>
      </w:r>
    </w:p>
    <w:p>
      <w:pPr>
        <w:spacing w:line="360" w:lineRule="auto"/>
        <w:ind w:firstLine="420" w:firstLineChars="200"/>
        <w:rPr>
          <w:rFonts w:ascii="宋体" w:hAnsi="宋体" w:cs="宋体"/>
        </w:rPr>
      </w:pPr>
      <w:r>
        <w:rPr>
          <w:rFonts w:hint="eastAsia" w:ascii="宋体" w:hAnsi="宋体" w:cs="宋体"/>
        </w:rPr>
        <w:t>11、知识产权</w:t>
      </w:r>
    </w:p>
    <w:p>
      <w:pPr>
        <w:spacing w:line="360" w:lineRule="auto"/>
        <w:ind w:firstLine="420" w:firstLineChars="200"/>
        <w:rPr>
          <w:rFonts w:ascii="宋体" w:hAnsi="宋体" w:cs="宋体"/>
        </w:rPr>
      </w:pPr>
      <w:r>
        <w:rPr>
          <w:rFonts w:hint="eastAsia" w:ascii="宋体" w:hAnsi="宋体" w:cs="宋体"/>
        </w:rPr>
        <w:t>11.1供应商须保证，采购人在中华人民共和国境内使用磋商响应货物、资料、技术、服务或其任何一部分时，享有不受限制的无偿使用权，不会产生因第三方提出侵犯其专利权、商标权或其它知识产权而引起的法律或经济纠纷。如供应商不拥有相应的知识产权，则在磋商响应报价中必须包括合法获取该知识产权的一切相关费用。如因此导致采购人损失的，供应商须承担全部赔偿责任。</w:t>
      </w:r>
    </w:p>
    <w:p>
      <w:pPr>
        <w:spacing w:line="360" w:lineRule="auto"/>
        <w:ind w:firstLine="420" w:firstLineChars="200"/>
        <w:rPr>
          <w:rFonts w:ascii="宋体" w:hAnsi="宋体" w:cs="宋体"/>
        </w:rPr>
      </w:pPr>
      <w:r>
        <w:rPr>
          <w:rFonts w:hint="eastAsia" w:ascii="宋体" w:hAnsi="宋体" w:cs="宋体"/>
        </w:rPr>
        <w:t>11.2供应商如欲在项目实施过程中采用自有知识成果，须在磋商响应文件中声明，并提供相关知识产权证明文件。使用该知识成果后，供应商须提供开发接口和开发手册等技术文档。</w:t>
      </w:r>
    </w:p>
    <w:p>
      <w:pPr>
        <w:spacing w:line="360" w:lineRule="auto"/>
        <w:ind w:firstLine="420" w:firstLineChars="200"/>
        <w:rPr>
          <w:rFonts w:ascii="宋体" w:hAnsi="宋体" w:cs="宋体"/>
        </w:rPr>
      </w:pPr>
      <w:r>
        <w:rPr>
          <w:rFonts w:hint="eastAsia" w:ascii="宋体" w:hAnsi="宋体" w:cs="宋体"/>
        </w:rPr>
        <w:t>12、纪律与保密</w:t>
      </w:r>
    </w:p>
    <w:p>
      <w:pPr>
        <w:spacing w:line="360" w:lineRule="auto"/>
        <w:ind w:firstLine="420" w:firstLineChars="200"/>
        <w:rPr>
          <w:rFonts w:ascii="宋体" w:hAnsi="宋体" w:cs="宋体"/>
        </w:rPr>
      </w:pPr>
      <w:r>
        <w:rPr>
          <w:rFonts w:hint="eastAsia" w:ascii="宋体" w:hAnsi="宋体" w:cs="宋体"/>
        </w:rPr>
        <w:t>12.1供应商的磋商响应行为应遵守中国的有关法律、法规和规章。</w:t>
      </w:r>
    </w:p>
    <w:p>
      <w:pPr>
        <w:spacing w:line="360" w:lineRule="auto"/>
        <w:ind w:firstLine="420" w:firstLineChars="200"/>
        <w:rPr>
          <w:rFonts w:ascii="宋体" w:hAnsi="宋体" w:cs="宋体"/>
        </w:rPr>
      </w:pPr>
      <w:r>
        <w:rPr>
          <w:rFonts w:hint="eastAsia" w:ascii="宋体" w:hAnsi="宋体" w:cs="宋体"/>
        </w:rPr>
        <w:t>12.2供应商不得相互串通磋商响应报价，不得妨碍其他供应商的公平竞争，不得损害采购人或其他供应商的合法权益，供应商不得以向采购人、磋商小组成员行贿或者采取其他不正当手段谋取成交。</w:t>
      </w:r>
    </w:p>
    <w:p>
      <w:pPr>
        <w:spacing w:line="360" w:lineRule="auto"/>
        <w:ind w:firstLine="420" w:firstLineChars="200"/>
        <w:rPr>
          <w:rFonts w:ascii="宋体" w:hAnsi="宋体" w:cs="宋体"/>
        </w:rPr>
      </w:pPr>
      <w:r>
        <w:rPr>
          <w:rFonts w:hint="eastAsia" w:ascii="宋体" w:hAnsi="宋体" w:cs="宋体"/>
        </w:rPr>
        <w:t>12.2.1有下列情形之一的，属于供应商相互串通磋商响应：</w:t>
      </w:r>
    </w:p>
    <w:p>
      <w:pPr>
        <w:spacing w:line="360" w:lineRule="auto"/>
        <w:ind w:firstLine="420" w:firstLineChars="200"/>
        <w:rPr>
          <w:rFonts w:ascii="宋体" w:hAnsi="宋体" w:cs="宋体"/>
        </w:rPr>
      </w:pPr>
      <w:r>
        <w:rPr>
          <w:rFonts w:hint="eastAsia" w:ascii="宋体" w:hAnsi="宋体" w:cs="宋体"/>
        </w:rPr>
        <w:t>12.2.1.1供应商之间协商磋商响应报价等磋商响应文件的实质性内容；</w:t>
      </w:r>
    </w:p>
    <w:p>
      <w:pPr>
        <w:spacing w:line="360" w:lineRule="auto"/>
        <w:ind w:firstLine="420" w:firstLineChars="200"/>
        <w:rPr>
          <w:rFonts w:ascii="宋体" w:hAnsi="宋体" w:cs="宋体"/>
        </w:rPr>
      </w:pPr>
      <w:r>
        <w:rPr>
          <w:rFonts w:hint="eastAsia" w:ascii="宋体" w:hAnsi="宋体" w:cs="宋体"/>
        </w:rPr>
        <w:t>12.2.1.2供应商之间约定成交供应商；</w:t>
      </w:r>
    </w:p>
    <w:p>
      <w:pPr>
        <w:spacing w:line="360" w:lineRule="auto"/>
        <w:ind w:firstLine="420" w:firstLineChars="200"/>
        <w:rPr>
          <w:rFonts w:ascii="宋体" w:hAnsi="宋体" w:cs="宋体"/>
        </w:rPr>
      </w:pPr>
      <w:r>
        <w:rPr>
          <w:rFonts w:hint="eastAsia" w:ascii="宋体" w:hAnsi="宋体" w:cs="宋体"/>
        </w:rPr>
        <w:t>12.2.1.3供应商之间约定部分供应商放弃磋商响应或者成交；</w:t>
      </w:r>
    </w:p>
    <w:p>
      <w:pPr>
        <w:spacing w:line="360" w:lineRule="auto"/>
        <w:ind w:firstLine="420" w:firstLineChars="200"/>
        <w:rPr>
          <w:rFonts w:ascii="宋体" w:hAnsi="宋体" w:cs="宋体"/>
        </w:rPr>
      </w:pPr>
      <w:r>
        <w:rPr>
          <w:rFonts w:hint="eastAsia" w:ascii="宋体" w:hAnsi="宋体" w:cs="宋体"/>
        </w:rPr>
        <w:t>12.2.1.4属于同一集团、协会、商会等组织成员的供应商按照该组织要求协同磋商响应；</w:t>
      </w:r>
    </w:p>
    <w:p>
      <w:pPr>
        <w:spacing w:line="360" w:lineRule="auto"/>
        <w:ind w:firstLine="420" w:firstLineChars="200"/>
        <w:rPr>
          <w:rFonts w:ascii="宋体" w:hAnsi="宋体" w:cs="宋体"/>
        </w:rPr>
      </w:pPr>
      <w:r>
        <w:rPr>
          <w:rFonts w:hint="eastAsia" w:ascii="宋体" w:hAnsi="宋体" w:cs="宋体"/>
        </w:rPr>
        <w:t>12.2.1.5供应商之间为谋取成交或者排斥特定供应商而采取的其他联合行动。</w:t>
      </w:r>
    </w:p>
    <w:p>
      <w:pPr>
        <w:spacing w:line="360" w:lineRule="auto"/>
        <w:ind w:firstLine="420" w:firstLineChars="200"/>
        <w:rPr>
          <w:rFonts w:ascii="宋体" w:hAnsi="宋体" w:cs="宋体"/>
        </w:rPr>
      </w:pPr>
      <w:r>
        <w:rPr>
          <w:rFonts w:hint="eastAsia" w:ascii="宋体" w:hAnsi="宋体" w:cs="宋体"/>
        </w:rPr>
        <w:t>12.2.1.6法律法规规定的其它情形。</w:t>
      </w:r>
    </w:p>
    <w:p>
      <w:pPr>
        <w:spacing w:line="360" w:lineRule="auto"/>
        <w:ind w:firstLine="420" w:firstLineChars="200"/>
        <w:rPr>
          <w:rFonts w:ascii="宋体" w:hAnsi="宋体" w:cs="宋体"/>
        </w:rPr>
      </w:pPr>
      <w:r>
        <w:rPr>
          <w:rFonts w:hint="eastAsia" w:ascii="宋体" w:hAnsi="宋体" w:cs="宋体"/>
        </w:rPr>
        <w:t>12.2.2 有下列情形之一的，视为供应商相互串通磋商响应：</w:t>
      </w:r>
    </w:p>
    <w:p>
      <w:pPr>
        <w:spacing w:line="360" w:lineRule="auto"/>
        <w:ind w:firstLine="420" w:firstLineChars="200"/>
        <w:rPr>
          <w:rFonts w:ascii="宋体" w:hAnsi="宋体" w:cs="宋体"/>
        </w:rPr>
      </w:pPr>
      <w:r>
        <w:rPr>
          <w:rFonts w:hint="eastAsia" w:ascii="宋体" w:hAnsi="宋体" w:cs="宋体"/>
        </w:rPr>
        <w:t>12.2.2.1不同供应商的磋商响应文件由同一单位或者个人编制；</w:t>
      </w:r>
    </w:p>
    <w:p>
      <w:pPr>
        <w:spacing w:line="360" w:lineRule="auto"/>
        <w:ind w:firstLine="420" w:firstLineChars="200"/>
        <w:rPr>
          <w:rFonts w:ascii="宋体" w:hAnsi="宋体" w:cs="宋体"/>
        </w:rPr>
      </w:pPr>
      <w:r>
        <w:rPr>
          <w:rFonts w:hint="eastAsia" w:ascii="宋体" w:hAnsi="宋体" w:cs="宋体"/>
        </w:rPr>
        <w:t>12.2.2.2不同供应商委托同一单位或者个人办理磋商响应事宜；</w:t>
      </w:r>
    </w:p>
    <w:p>
      <w:pPr>
        <w:spacing w:line="360" w:lineRule="auto"/>
        <w:ind w:firstLine="420" w:firstLineChars="200"/>
        <w:rPr>
          <w:rFonts w:ascii="宋体" w:hAnsi="宋体" w:cs="宋体"/>
        </w:rPr>
      </w:pPr>
      <w:r>
        <w:rPr>
          <w:rFonts w:hint="eastAsia" w:ascii="宋体" w:hAnsi="宋体" w:cs="宋体"/>
        </w:rPr>
        <w:t>12.2.2.3不同供应商的磋商响应文件载明的项目负责人（或技术负责人）为同一人；</w:t>
      </w:r>
    </w:p>
    <w:p>
      <w:pPr>
        <w:spacing w:line="360" w:lineRule="auto"/>
        <w:ind w:firstLine="420" w:firstLineChars="200"/>
        <w:rPr>
          <w:rFonts w:ascii="宋体" w:hAnsi="宋体" w:cs="宋体"/>
        </w:rPr>
      </w:pPr>
      <w:r>
        <w:rPr>
          <w:rFonts w:hint="eastAsia" w:ascii="宋体" w:hAnsi="宋体" w:cs="宋体"/>
        </w:rPr>
        <w:t>12.2.2.4不同供应商的磋商响应文件相互混装；</w:t>
      </w:r>
    </w:p>
    <w:p>
      <w:pPr>
        <w:spacing w:line="360" w:lineRule="auto"/>
        <w:ind w:firstLine="420" w:firstLineChars="200"/>
        <w:rPr>
          <w:rFonts w:ascii="宋体" w:hAnsi="宋体" w:cs="宋体"/>
        </w:rPr>
      </w:pPr>
      <w:r>
        <w:rPr>
          <w:rFonts w:hint="eastAsia" w:ascii="宋体" w:hAnsi="宋体" w:cs="宋体"/>
        </w:rPr>
        <w:t>12.2.2.5不同供应商的磋商文件异常一致或者磋商最终报价是呈规律性差异；</w:t>
      </w:r>
    </w:p>
    <w:p>
      <w:pPr>
        <w:spacing w:line="360" w:lineRule="auto"/>
        <w:ind w:firstLine="420" w:firstLineChars="200"/>
        <w:rPr>
          <w:rFonts w:ascii="宋体" w:hAnsi="宋体" w:cs="宋体"/>
        </w:rPr>
      </w:pPr>
      <w:r>
        <w:rPr>
          <w:rFonts w:hint="eastAsia" w:ascii="宋体" w:hAnsi="宋体" w:cs="宋体"/>
        </w:rPr>
        <w:t>12.2.2.6不同供应商的磋商响应保证金从同一单位（或者同一个人）的账户转出；</w:t>
      </w:r>
    </w:p>
    <w:p>
      <w:pPr>
        <w:spacing w:line="360" w:lineRule="auto"/>
        <w:ind w:firstLine="420" w:firstLineChars="200"/>
        <w:rPr>
          <w:rFonts w:ascii="宋体" w:hAnsi="宋体" w:cs="宋体"/>
        </w:rPr>
      </w:pPr>
      <w:r>
        <w:rPr>
          <w:rFonts w:hint="eastAsia" w:ascii="宋体" w:hAnsi="宋体" w:cs="宋体"/>
        </w:rPr>
        <w:t>12.2.2.7 法律法规规定的其它情形。</w:t>
      </w:r>
    </w:p>
    <w:p>
      <w:pPr>
        <w:spacing w:line="360" w:lineRule="auto"/>
        <w:ind w:firstLine="420" w:firstLineChars="200"/>
        <w:rPr>
          <w:rFonts w:ascii="宋体" w:hAnsi="宋体" w:cs="宋体"/>
        </w:rPr>
      </w:pPr>
      <w:r>
        <w:rPr>
          <w:rFonts w:hint="eastAsia" w:ascii="宋体" w:hAnsi="宋体" w:cs="宋体"/>
        </w:rPr>
        <w:t>12.3在确定成交供应商之前，供应商试图在磋商响应文件审查、澄清、比较和评价时对磋商小组和采购人施加任何影响都可能导致其磋商响应无效。</w:t>
      </w:r>
    </w:p>
    <w:p>
      <w:pPr>
        <w:spacing w:line="360" w:lineRule="auto"/>
        <w:ind w:firstLine="420" w:firstLineChars="200"/>
        <w:rPr>
          <w:rFonts w:ascii="宋体" w:hAnsi="宋体" w:cs="宋体"/>
        </w:rPr>
      </w:pPr>
      <w:r>
        <w:rPr>
          <w:rFonts w:hint="eastAsia" w:ascii="宋体" w:hAnsi="宋体" w:cs="宋体"/>
        </w:rPr>
        <w:t>13、联合体磋商响应（本项目不采用）</w:t>
      </w:r>
    </w:p>
    <w:p>
      <w:pPr>
        <w:spacing w:line="360" w:lineRule="auto"/>
        <w:ind w:firstLine="420" w:firstLineChars="200"/>
        <w:rPr>
          <w:rFonts w:ascii="宋体" w:hAnsi="宋体" w:cs="宋体"/>
        </w:rPr>
      </w:pPr>
      <w:r>
        <w:rPr>
          <w:rFonts w:hint="eastAsia" w:ascii="宋体" w:hAnsi="宋体" w:cs="宋体"/>
        </w:rPr>
        <w:t>13.1除非本项目明确要求不接受联合体形式磋商响应外，两个或两个以上供应商可以组成一个联合体磋商响应，以一个供应商的身份磋商响应。</w:t>
      </w:r>
    </w:p>
    <w:p>
      <w:pPr>
        <w:spacing w:line="360" w:lineRule="auto"/>
        <w:ind w:firstLine="420" w:firstLineChars="200"/>
        <w:rPr>
          <w:rFonts w:ascii="宋体" w:hAnsi="宋体" w:cs="宋体"/>
        </w:rPr>
      </w:pPr>
      <w:r>
        <w:rPr>
          <w:rFonts w:hint="eastAsia" w:ascii="宋体" w:hAnsi="宋体" w:cs="宋体"/>
        </w:rPr>
        <w:t>13.2联合体各方之间应当签订联合体协议，明确约定联合体各方应当承担的工作和相应的责任，明确联合体牵头人，并将联合体协议连同磋商响应文件一并提交，联合体协议上需加盖联合体各方单位公章。由同一专业的单位组成的联合体，按照同一资质等级较低的单位确定资质等级。</w:t>
      </w:r>
    </w:p>
    <w:p>
      <w:pPr>
        <w:spacing w:line="360" w:lineRule="auto"/>
        <w:ind w:firstLine="420" w:firstLineChars="200"/>
        <w:rPr>
          <w:rFonts w:ascii="宋体" w:hAnsi="宋体" w:cs="宋体"/>
        </w:rPr>
      </w:pPr>
      <w:r>
        <w:rPr>
          <w:rFonts w:hint="eastAsia" w:ascii="宋体" w:hAnsi="宋体" w:cs="宋体"/>
        </w:rPr>
        <w:t>13.3联合体各方签订联合体协议后，不得再以自己的名义单独在同一项目中磋商响应，也不得组成新的联合体参加同一项目磋商响应，否则相关供应商均作无效标处理。</w:t>
      </w:r>
    </w:p>
    <w:p>
      <w:pPr>
        <w:spacing w:line="360" w:lineRule="auto"/>
        <w:ind w:firstLine="420" w:firstLineChars="200"/>
        <w:rPr>
          <w:rFonts w:ascii="宋体" w:hAnsi="宋体" w:cs="宋体"/>
        </w:rPr>
      </w:pPr>
      <w:r>
        <w:rPr>
          <w:rFonts w:hint="eastAsia" w:ascii="宋体" w:hAnsi="宋体" w:cs="宋体"/>
        </w:rPr>
        <w:t>13.4联合体磋商响应的，可以由联合体中的一方或者共同提交磋商响应保证金，以一方名义提交保证金的，对联合体各方均具有约束力。</w:t>
      </w:r>
    </w:p>
    <w:p>
      <w:pPr>
        <w:spacing w:line="360" w:lineRule="auto"/>
        <w:ind w:firstLine="420" w:firstLineChars="200"/>
        <w:rPr>
          <w:rFonts w:ascii="宋体" w:hAnsi="宋体" w:cs="宋体"/>
        </w:rPr>
      </w:pPr>
      <w:r>
        <w:rPr>
          <w:rFonts w:hint="eastAsia" w:ascii="宋体" w:hAnsi="宋体" w:cs="宋体"/>
        </w:rPr>
        <w:t>14、签章的效力</w:t>
      </w:r>
    </w:p>
    <w:p>
      <w:pPr>
        <w:spacing w:line="360" w:lineRule="auto"/>
        <w:ind w:firstLine="420" w:firstLineChars="200"/>
        <w:rPr>
          <w:rFonts w:ascii="宋体" w:hAnsi="宋体" w:cs="宋体"/>
        </w:rPr>
      </w:pPr>
      <w:r>
        <w:rPr>
          <w:rFonts w:hint="eastAsia" w:ascii="宋体" w:hAnsi="宋体" w:cs="宋体"/>
        </w:rPr>
        <w:t>磋商文件中明确要求签章的，供应商必须在相应位置签章。</w:t>
      </w:r>
    </w:p>
    <w:p>
      <w:pPr>
        <w:spacing w:line="360" w:lineRule="auto"/>
        <w:ind w:firstLine="420" w:firstLineChars="200"/>
        <w:rPr>
          <w:rFonts w:ascii="宋体" w:hAnsi="宋体" w:cs="宋体"/>
        </w:rPr>
      </w:pPr>
      <w:r>
        <w:rPr>
          <w:rFonts w:hint="eastAsia" w:ascii="宋体" w:hAnsi="宋体" w:cs="宋体"/>
        </w:rPr>
        <w:t>15、企业诚信库（本项目不采用）</w:t>
      </w:r>
    </w:p>
    <w:p>
      <w:pPr>
        <w:spacing w:line="360" w:lineRule="auto"/>
        <w:ind w:firstLine="420" w:firstLineChars="200"/>
        <w:rPr>
          <w:rFonts w:ascii="宋体" w:hAnsi="宋体" w:cs="宋体"/>
        </w:rPr>
      </w:pPr>
      <w:r>
        <w:rPr>
          <w:rFonts w:hint="eastAsia" w:ascii="宋体" w:hAnsi="宋体" w:cs="宋体"/>
        </w:rPr>
        <w:t>15.1为进一步规范磋商响应行为，提高磋商响应工作效率，降低磋商响应成本，加强对供应商诚信信息的管理，加快政府采购工作电子化、信息化建设，中心实行供应商企业诚信库制度，并面向全国免费征集。</w:t>
      </w:r>
    </w:p>
    <w:p>
      <w:pPr>
        <w:spacing w:line="360" w:lineRule="auto"/>
        <w:ind w:firstLine="420" w:firstLineChars="200"/>
        <w:rPr>
          <w:rFonts w:ascii="宋体" w:hAnsi="宋体" w:cs="宋体"/>
        </w:rPr>
      </w:pPr>
      <w:r>
        <w:rPr>
          <w:rFonts w:hint="eastAsia" w:ascii="宋体" w:hAnsi="宋体" w:cs="宋体"/>
        </w:rPr>
        <w:t>15.2入库资料的真实性、有效性、完整性、准确性、合法性及清晰度由供应商负责。中心只负责对供应商所提供的入库资料原件与上传扫描件进行比对；企业库中文字信息、扫描件必须与真实证照完全一致，企业诚信库资料的有效性在评标时由项目磋商小组负责审核。</w:t>
      </w:r>
    </w:p>
    <w:p>
      <w:pPr>
        <w:spacing w:line="360" w:lineRule="auto"/>
        <w:ind w:firstLine="420" w:firstLineChars="200"/>
        <w:rPr>
          <w:rFonts w:ascii="宋体" w:hAnsi="宋体" w:cs="宋体"/>
        </w:rPr>
      </w:pPr>
      <w:r>
        <w:rPr>
          <w:rFonts w:hint="eastAsia" w:ascii="宋体" w:hAnsi="宋体" w:cs="宋体"/>
        </w:rPr>
        <w:t>15.3为确保磋商响应文件通过评审，供应商应及时对入库资料进行补充、更新。如因前款原因未通过本项目磋商小组评审，由供应商承担全部责任。</w:t>
      </w:r>
    </w:p>
    <w:p>
      <w:pPr>
        <w:spacing w:line="360" w:lineRule="auto"/>
        <w:ind w:firstLine="422" w:firstLineChars="200"/>
        <w:rPr>
          <w:rFonts w:ascii="宋体" w:hAnsi="宋体" w:cs="宋体"/>
          <w:b/>
          <w:bCs/>
        </w:rPr>
      </w:pPr>
      <w:r>
        <w:rPr>
          <w:rFonts w:hint="eastAsia" w:ascii="宋体" w:hAnsi="宋体" w:cs="宋体"/>
          <w:b/>
          <w:bCs/>
        </w:rPr>
        <w:t>四、磋商响应文件的编制</w:t>
      </w:r>
    </w:p>
    <w:p>
      <w:pPr>
        <w:spacing w:line="360" w:lineRule="auto"/>
        <w:ind w:firstLine="420" w:firstLineChars="200"/>
        <w:rPr>
          <w:rFonts w:ascii="宋体" w:hAnsi="宋体" w:cs="宋体"/>
        </w:rPr>
      </w:pPr>
      <w:r>
        <w:rPr>
          <w:rFonts w:hint="eastAsia" w:ascii="宋体" w:hAnsi="宋体" w:cs="宋体"/>
        </w:rPr>
        <w:t>16、磋商响应的语言及度量衡单位</w:t>
      </w:r>
    </w:p>
    <w:p>
      <w:pPr>
        <w:spacing w:line="360" w:lineRule="auto"/>
        <w:ind w:firstLine="420" w:firstLineChars="200"/>
        <w:rPr>
          <w:rFonts w:ascii="宋体" w:hAnsi="宋体" w:cs="宋体"/>
        </w:rPr>
      </w:pPr>
      <w:r>
        <w:rPr>
          <w:rFonts w:hint="eastAsia" w:ascii="宋体" w:hAnsi="宋体" w:cs="宋体"/>
        </w:rPr>
        <w:t>16.1供应商的磋商响应文件、以及供应商与采购单位就磋商响应的所有往来函电，均须使用简体中文。</w:t>
      </w:r>
    </w:p>
    <w:p>
      <w:pPr>
        <w:spacing w:line="360" w:lineRule="auto"/>
        <w:ind w:firstLine="420" w:firstLineChars="200"/>
        <w:rPr>
          <w:rFonts w:ascii="宋体" w:hAnsi="宋体" w:cs="宋体"/>
        </w:rPr>
      </w:pPr>
      <w:r>
        <w:rPr>
          <w:rFonts w:hint="eastAsia" w:ascii="宋体" w:hAnsi="宋体" w:cs="宋体"/>
        </w:rPr>
        <w:t>16.2除磋商文件中另有规定外，磋商响应文件所使用的度量衡均须采用法定计量单位。</w:t>
      </w:r>
    </w:p>
    <w:p>
      <w:pPr>
        <w:spacing w:line="360" w:lineRule="auto"/>
        <w:ind w:firstLine="420" w:firstLineChars="200"/>
        <w:rPr>
          <w:rFonts w:ascii="宋体" w:hAnsi="宋体" w:cs="宋体"/>
        </w:rPr>
      </w:pPr>
      <w:r>
        <w:rPr>
          <w:rFonts w:hint="eastAsia" w:ascii="宋体" w:hAnsi="宋体" w:cs="宋体"/>
        </w:rPr>
        <w:t>17、磋商响应文件构成</w:t>
      </w:r>
    </w:p>
    <w:p>
      <w:pPr>
        <w:spacing w:line="360" w:lineRule="auto"/>
        <w:ind w:firstLine="420" w:firstLineChars="200"/>
        <w:rPr>
          <w:rFonts w:ascii="宋体" w:hAnsi="宋体" w:cs="宋体"/>
        </w:rPr>
      </w:pPr>
      <w:r>
        <w:rPr>
          <w:rFonts w:hint="eastAsia" w:ascii="宋体" w:hAnsi="宋体" w:cs="宋体"/>
        </w:rPr>
        <w:t>17.1磋商响应文件应包括本磋商文件格式中所规定的全部内容。</w:t>
      </w:r>
    </w:p>
    <w:p>
      <w:pPr>
        <w:spacing w:line="360" w:lineRule="auto"/>
        <w:ind w:firstLine="420" w:firstLineChars="200"/>
        <w:rPr>
          <w:rFonts w:ascii="宋体" w:hAnsi="宋体" w:cs="宋体"/>
        </w:rPr>
      </w:pPr>
      <w:r>
        <w:rPr>
          <w:rFonts w:hint="eastAsia" w:ascii="宋体" w:hAnsi="宋体" w:cs="宋体"/>
        </w:rPr>
        <w:t>17.2供应商必须对其磋商响应文件的真实性与准确性负责。供应商一旦成为成交供应商，其磋商响应文件将作为合同的重要组成部分。</w:t>
      </w:r>
    </w:p>
    <w:p>
      <w:pPr>
        <w:spacing w:line="360" w:lineRule="auto"/>
        <w:ind w:firstLine="420" w:firstLineChars="200"/>
        <w:rPr>
          <w:rFonts w:ascii="宋体" w:hAnsi="宋体" w:cs="宋体"/>
        </w:rPr>
      </w:pPr>
      <w:r>
        <w:rPr>
          <w:rFonts w:hint="eastAsia" w:ascii="宋体" w:hAnsi="宋体" w:cs="宋体"/>
        </w:rPr>
        <w:t>17.3除文件中规定允许变动的格式，供应商不得擅自对磋商文件规定的格式、条款和技术要求进行修改。否则，其磋商响应文件在评标时有可能被认为是未对磋商文件做出实质性的响应而中止对其作进一步的评审。</w:t>
      </w:r>
    </w:p>
    <w:p>
      <w:pPr>
        <w:spacing w:line="360" w:lineRule="auto"/>
        <w:ind w:firstLine="420" w:firstLineChars="200"/>
        <w:rPr>
          <w:rFonts w:ascii="宋体" w:hAnsi="宋体" w:cs="宋体"/>
        </w:rPr>
      </w:pPr>
      <w:r>
        <w:rPr>
          <w:rFonts w:hint="eastAsia" w:ascii="宋体" w:hAnsi="宋体" w:cs="宋体"/>
        </w:rPr>
        <w:t>18、磋商响应报价</w:t>
      </w:r>
    </w:p>
    <w:p>
      <w:pPr>
        <w:spacing w:line="360" w:lineRule="auto"/>
        <w:ind w:firstLine="420" w:firstLineChars="200"/>
        <w:rPr>
          <w:rFonts w:ascii="宋体" w:hAnsi="宋体" w:cs="宋体"/>
        </w:rPr>
      </w:pPr>
      <w:r>
        <w:rPr>
          <w:rFonts w:hint="eastAsia" w:ascii="宋体" w:hAnsi="宋体" w:cs="宋体"/>
        </w:rPr>
        <w:t>18.1磋商响应文件的磋商响应报价表上应清楚地标明供应商拟提供货物的名称、单价和总价。只允许有一个方案、一个报价，多方案、多报价的磋商响应文件将不被接受。</w:t>
      </w:r>
    </w:p>
    <w:p>
      <w:pPr>
        <w:spacing w:line="360" w:lineRule="auto"/>
        <w:ind w:firstLine="420" w:firstLineChars="200"/>
        <w:rPr>
          <w:rFonts w:ascii="宋体" w:hAnsi="宋体" w:cs="宋体"/>
        </w:rPr>
      </w:pPr>
      <w:r>
        <w:rPr>
          <w:rFonts w:hint="eastAsia" w:ascii="宋体" w:hAnsi="宋体" w:cs="宋体"/>
        </w:rPr>
        <w:t>18.2磋商响应报价表上货物的价格是交货地的验收价格，其总价即为履行合同的固定价格。</w:t>
      </w:r>
    </w:p>
    <w:p>
      <w:pPr>
        <w:spacing w:line="360" w:lineRule="auto"/>
        <w:ind w:firstLine="420" w:firstLineChars="200"/>
        <w:rPr>
          <w:rFonts w:ascii="宋体" w:hAnsi="宋体" w:cs="宋体"/>
        </w:rPr>
      </w:pPr>
      <w:r>
        <w:rPr>
          <w:rFonts w:hint="eastAsia" w:ascii="宋体" w:hAnsi="宋体" w:cs="宋体"/>
        </w:rPr>
        <w:t>18.3</w:t>
      </w:r>
      <w:bookmarkStart w:id="4" w:name="EB616bfadcee8947c09e287939cf58f192"/>
      <w:r>
        <w:rPr>
          <w:rFonts w:hint="eastAsia" w:ascii="宋体" w:hAnsi="宋体" w:cs="宋体"/>
        </w:rPr>
        <w:t>供应商的报价应包含所投服务、保险、税费、包装、加工及加工损耗、运输、现场落地、安装及安装损耗、调试、检测验收和交付后约定期限内维保等工作所发生的一切应有费用。</w:t>
      </w:r>
      <w:bookmarkEnd w:id="4"/>
      <w:r>
        <w:rPr>
          <w:rFonts w:hint="eastAsia" w:ascii="宋体" w:hAnsi="宋体" w:cs="宋体"/>
        </w:rPr>
        <w:t>磋商响应报价为签订合同的依据。</w:t>
      </w:r>
    </w:p>
    <w:p>
      <w:pPr>
        <w:spacing w:line="360" w:lineRule="auto"/>
        <w:ind w:firstLine="420" w:firstLineChars="200"/>
        <w:rPr>
          <w:rFonts w:ascii="宋体" w:hAnsi="宋体" w:cs="宋体"/>
        </w:rPr>
      </w:pPr>
      <w:r>
        <w:rPr>
          <w:rFonts w:hint="eastAsia" w:ascii="宋体" w:hAnsi="宋体" w:cs="宋体"/>
        </w:rPr>
        <w:t>18.4供应商应在磋商响应文件中注明拟提供服务、货物的单价、服务内容明细和总价。除政策性文件规定以外，供应商所报价格在合同实施期间不因市场变化因素而变动。</w:t>
      </w:r>
    </w:p>
    <w:p>
      <w:pPr>
        <w:spacing w:line="360" w:lineRule="auto"/>
        <w:ind w:firstLine="420" w:firstLineChars="200"/>
        <w:rPr>
          <w:rFonts w:ascii="宋体" w:hAnsi="宋体" w:cs="宋体"/>
        </w:rPr>
      </w:pPr>
      <w:r>
        <w:rPr>
          <w:rFonts w:hint="eastAsia" w:ascii="宋体" w:hAnsi="宋体" w:cs="宋体"/>
        </w:rPr>
        <w:t>19、磋商响应货币：磋商响应须以人民币报价。</w:t>
      </w:r>
    </w:p>
    <w:p>
      <w:pPr>
        <w:spacing w:line="360" w:lineRule="auto"/>
        <w:ind w:firstLine="420" w:firstLineChars="200"/>
        <w:rPr>
          <w:rFonts w:ascii="宋体" w:hAnsi="宋体" w:cs="宋体"/>
        </w:rPr>
      </w:pPr>
      <w:r>
        <w:rPr>
          <w:rFonts w:hint="eastAsia" w:ascii="宋体" w:hAnsi="宋体" w:cs="宋体"/>
        </w:rPr>
        <w:t>20、证明供应商合格的文件</w:t>
      </w:r>
    </w:p>
    <w:p>
      <w:pPr>
        <w:spacing w:line="360" w:lineRule="auto"/>
        <w:ind w:firstLine="420" w:firstLineChars="200"/>
        <w:rPr>
          <w:rFonts w:ascii="宋体" w:hAnsi="宋体" w:cs="宋体"/>
        </w:rPr>
      </w:pPr>
      <w:r>
        <w:rPr>
          <w:rFonts w:hint="eastAsia" w:ascii="宋体" w:hAnsi="宋体" w:cs="宋体"/>
        </w:rPr>
        <w:t>20.1供应商在其磋商响应文件中，应根据采购文件要求提交证明其有资格参加磋商响应和成交后有能力履行合同的证明文件，作为其磋商响应文件的一部分。</w:t>
      </w:r>
    </w:p>
    <w:p>
      <w:pPr>
        <w:spacing w:line="360" w:lineRule="auto"/>
        <w:ind w:firstLine="420" w:firstLineChars="200"/>
        <w:rPr>
          <w:rFonts w:ascii="宋体" w:hAnsi="宋体" w:cs="宋体"/>
        </w:rPr>
      </w:pPr>
      <w:r>
        <w:rPr>
          <w:rFonts w:hint="eastAsia" w:ascii="宋体" w:hAnsi="宋体" w:cs="宋体"/>
        </w:rPr>
        <w:t>20.2供应商资质证书（或资格证明）处于年检、换证、升级、变更等期间，除非法律法规或发证机构有书面材料明确表明供应商资质（或资格)有效，否则一律不予认可。</w:t>
      </w:r>
    </w:p>
    <w:p>
      <w:pPr>
        <w:spacing w:line="360" w:lineRule="auto"/>
        <w:ind w:firstLine="420" w:firstLineChars="200"/>
        <w:rPr>
          <w:rFonts w:ascii="宋体" w:hAnsi="宋体" w:cs="宋体"/>
        </w:rPr>
      </w:pPr>
      <w:r>
        <w:rPr>
          <w:rFonts w:hint="eastAsia" w:ascii="宋体" w:hAnsi="宋体" w:cs="宋体"/>
        </w:rPr>
        <w:t>21、磋商响应文件的密封和标记</w:t>
      </w:r>
    </w:p>
    <w:p>
      <w:pPr>
        <w:spacing w:line="360" w:lineRule="auto"/>
        <w:ind w:firstLine="420" w:firstLineChars="200"/>
        <w:rPr>
          <w:rFonts w:ascii="宋体" w:hAnsi="宋体" w:cs="宋体"/>
        </w:rPr>
      </w:pPr>
      <w:r>
        <w:rPr>
          <w:rFonts w:hint="eastAsia" w:ascii="宋体" w:hAnsi="宋体" w:cs="宋体"/>
        </w:rPr>
        <w:t>21.1</w:t>
      </w:r>
      <w:bookmarkStart w:id="5" w:name="_Hlt509650747"/>
      <w:bookmarkEnd w:id="5"/>
      <w:r>
        <w:rPr>
          <w:rFonts w:hint="eastAsia" w:ascii="宋体" w:hAnsi="宋体" w:cs="宋体"/>
        </w:rPr>
        <w:t>磋商响应截止时间前，供应商须到达公告指定的地点将密封的磋商响应文件提交给采购代理工作人员，未密封的不予接收。磋商响应文件应当密封，并在密封袋上标注项目名称、项目编号、供应商名称及包别。</w:t>
      </w:r>
    </w:p>
    <w:p>
      <w:pPr>
        <w:spacing w:line="360" w:lineRule="auto"/>
        <w:ind w:firstLine="420" w:firstLineChars="200"/>
        <w:rPr>
          <w:rFonts w:ascii="宋体" w:hAnsi="宋体" w:cs="宋体"/>
        </w:rPr>
      </w:pPr>
      <w:r>
        <w:rPr>
          <w:rFonts w:hint="eastAsia" w:ascii="宋体" w:hAnsi="宋体" w:cs="宋体"/>
        </w:rPr>
        <w:t>21.2如果未按规定封装或加写标记或递交，采购代理机构将不承担磋商响应文件错放或提前开封的责任，并导致该类别磋商响应文件递交无效。</w:t>
      </w:r>
    </w:p>
    <w:p>
      <w:pPr>
        <w:spacing w:line="360" w:lineRule="auto"/>
        <w:ind w:firstLine="420" w:firstLineChars="200"/>
        <w:rPr>
          <w:rFonts w:ascii="宋体" w:hAnsi="宋体" w:cs="宋体"/>
        </w:rPr>
      </w:pPr>
      <w:r>
        <w:rPr>
          <w:rFonts w:hint="eastAsia" w:ascii="宋体" w:hAnsi="宋体" w:cs="宋体"/>
        </w:rPr>
        <w:t>21.3供应商应按照供应商须知前附表的要求准备磋商响应文件。</w:t>
      </w:r>
    </w:p>
    <w:p>
      <w:pPr>
        <w:spacing w:line="360" w:lineRule="auto"/>
        <w:ind w:firstLine="422" w:firstLineChars="200"/>
        <w:rPr>
          <w:rFonts w:ascii="宋体" w:hAnsi="宋体" w:cs="宋体"/>
          <w:b/>
          <w:bCs/>
        </w:rPr>
      </w:pPr>
      <w:r>
        <w:rPr>
          <w:rFonts w:hint="eastAsia" w:ascii="宋体" w:hAnsi="宋体" w:cs="宋体"/>
          <w:b/>
          <w:bCs/>
        </w:rPr>
        <w:t>五、磋商响应文件的递交</w:t>
      </w:r>
    </w:p>
    <w:p>
      <w:pPr>
        <w:spacing w:line="360" w:lineRule="auto"/>
        <w:ind w:firstLine="420" w:firstLineChars="200"/>
        <w:rPr>
          <w:rFonts w:ascii="宋体" w:hAnsi="宋体" w:cs="宋体"/>
        </w:rPr>
      </w:pPr>
      <w:r>
        <w:rPr>
          <w:rFonts w:hint="eastAsia" w:ascii="宋体" w:hAnsi="宋体" w:cs="宋体"/>
        </w:rPr>
        <w:t xml:space="preserve">22、磋商响应文件的递交 </w:t>
      </w:r>
    </w:p>
    <w:p>
      <w:pPr>
        <w:spacing w:line="360" w:lineRule="auto"/>
        <w:ind w:firstLine="420" w:firstLineChars="200"/>
        <w:rPr>
          <w:rFonts w:ascii="宋体" w:hAnsi="宋体" w:cs="宋体"/>
        </w:rPr>
      </w:pPr>
      <w:r>
        <w:rPr>
          <w:rFonts w:hint="eastAsia" w:ascii="宋体" w:hAnsi="宋体" w:cs="宋体"/>
        </w:rPr>
        <w:t>22.1磋商响应文件的递交是指供应商在磋商响应截止时间前密封送达指定开标地点并递交的。</w:t>
      </w:r>
    </w:p>
    <w:p>
      <w:pPr>
        <w:spacing w:line="360" w:lineRule="auto"/>
        <w:ind w:firstLine="420" w:firstLineChars="200"/>
        <w:rPr>
          <w:rFonts w:ascii="宋体" w:hAnsi="宋体" w:cs="宋体"/>
        </w:rPr>
      </w:pPr>
      <w:r>
        <w:rPr>
          <w:rFonts w:hint="eastAsia" w:ascii="宋体" w:hAnsi="宋体" w:cs="宋体"/>
        </w:rPr>
        <w:t>22.2磋商响应截止时间前，供应商可以修改或撤回已提交的磋商响应文件，以磋商响应截止时间前递交的最后一份为准。</w:t>
      </w:r>
    </w:p>
    <w:p>
      <w:pPr>
        <w:spacing w:line="360" w:lineRule="auto"/>
        <w:ind w:firstLine="420" w:firstLineChars="200"/>
        <w:rPr>
          <w:rFonts w:ascii="宋体" w:hAnsi="宋体" w:cs="宋体"/>
        </w:rPr>
      </w:pPr>
      <w:r>
        <w:rPr>
          <w:rFonts w:hint="eastAsia" w:ascii="宋体" w:hAnsi="宋体" w:cs="宋体"/>
        </w:rPr>
        <w:t>22.3在磋商文件要求提交磋商响应文件的截止时间之后送达的磋商响应文件，为无效磋商响应文件，将拒绝接收。</w:t>
      </w:r>
    </w:p>
    <w:p>
      <w:pPr>
        <w:spacing w:line="360" w:lineRule="auto"/>
        <w:ind w:firstLine="420" w:firstLineChars="200"/>
        <w:rPr>
          <w:rFonts w:ascii="宋体" w:hAnsi="宋体" w:cs="宋体"/>
        </w:rPr>
      </w:pPr>
      <w:r>
        <w:rPr>
          <w:rFonts w:hint="eastAsia" w:ascii="宋体" w:hAnsi="宋体" w:cs="宋体"/>
        </w:rPr>
        <w:t>23、磋商响应文件、磋商响应保证金回单复印件或影印件（如有）需一同递交，否则其磋商响应将被拒绝：</w:t>
      </w:r>
    </w:p>
    <w:p>
      <w:pPr>
        <w:spacing w:line="360" w:lineRule="auto"/>
        <w:ind w:firstLine="420" w:firstLineChars="200"/>
        <w:rPr>
          <w:rFonts w:ascii="宋体" w:hAnsi="宋体" w:cs="宋体"/>
        </w:rPr>
      </w:pPr>
      <w:r>
        <w:rPr>
          <w:rFonts w:hint="eastAsia" w:ascii="宋体" w:hAnsi="宋体" w:cs="宋体"/>
        </w:rPr>
        <w:t>24、拒绝的磋商响应书：</w:t>
      </w:r>
    </w:p>
    <w:p>
      <w:pPr>
        <w:spacing w:line="360" w:lineRule="auto"/>
        <w:ind w:firstLine="420" w:firstLineChars="200"/>
        <w:rPr>
          <w:rFonts w:ascii="宋体" w:hAnsi="宋体" w:cs="宋体"/>
        </w:rPr>
      </w:pPr>
      <w:r>
        <w:rPr>
          <w:rFonts w:hint="eastAsia" w:ascii="宋体" w:hAnsi="宋体" w:cs="宋体"/>
        </w:rPr>
        <w:t>24.1采购单位将拒绝迟交的标书并原封退回。</w:t>
      </w:r>
    </w:p>
    <w:p>
      <w:pPr>
        <w:spacing w:line="360" w:lineRule="auto"/>
        <w:ind w:firstLine="420" w:firstLineChars="200"/>
        <w:rPr>
          <w:rFonts w:ascii="宋体" w:hAnsi="宋体" w:cs="宋体"/>
        </w:rPr>
      </w:pPr>
      <w:r>
        <w:rPr>
          <w:rFonts w:hint="eastAsia" w:ascii="宋体" w:hAnsi="宋体" w:cs="宋体"/>
        </w:rPr>
        <w:t>25、磋商响应书的修改和撤回</w:t>
      </w:r>
    </w:p>
    <w:p>
      <w:pPr>
        <w:spacing w:line="360" w:lineRule="auto"/>
        <w:ind w:firstLine="420" w:firstLineChars="200"/>
        <w:rPr>
          <w:rFonts w:ascii="宋体" w:hAnsi="宋体" w:cs="宋体"/>
        </w:rPr>
      </w:pPr>
      <w:r>
        <w:rPr>
          <w:rFonts w:hint="eastAsia" w:ascii="宋体" w:hAnsi="宋体" w:cs="宋体"/>
        </w:rPr>
        <w:t>25.1供应商递交磋商响应书后，可以在规定的磋商响应截止时间前修改或撤回其磋商响应书。但这种修改和撤回，必须以书面形式通知采购单位。</w:t>
      </w:r>
    </w:p>
    <w:p>
      <w:pPr>
        <w:spacing w:line="360" w:lineRule="auto"/>
        <w:ind w:firstLine="420" w:firstLineChars="200"/>
        <w:rPr>
          <w:rFonts w:ascii="宋体" w:hAnsi="宋体" w:cs="宋体"/>
        </w:rPr>
      </w:pPr>
      <w:r>
        <w:rPr>
          <w:rFonts w:hint="eastAsia" w:ascii="宋体" w:hAnsi="宋体" w:cs="宋体"/>
        </w:rPr>
        <w:t>25.2供应商修改书或撤回通知书，应由法定代表人或其授权代表签署，修改书应当按竞争性磋商文件要求进行密封、标记和提交。</w:t>
      </w:r>
    </w:p>
    <w:p>
      <w:pPr>
        <w:spacing w:line="360" w:lineRule="auto"/>
        <w:ind w:firstLine="422" w:firstLineChars="200"/>
        <w:rPr>
          <w:rFonts w:ascii="宋体" w:hAnsi="宋体" w:cs="宋体"/>
          <w:b/>
          <w:bCs/>
        </w:rPr>
      </w:pPr>
      <w:r>
        <w:rPr>
          <w:rFonts w:hint="eastAsia" w:ascii="宋体" w:hAnsi="宋体" w:cs="宋体"/>
          <w:b/>
          <w:bCs/>
        </w:rPr>
        <w:t>六、开标</w:t>
      </w:r>
    </w:p>
    <w:p>
      <w:pPr>
        <w:spacing w:line="360" w:lineRule="auto"/>
        <w:ind w:firstLine="420" w:firstLineChars="200"/>
        <w:rPr>
          <w:rFonts w:ascii="宋体" w:hAnsi="宋体" w:cs="宋体"/>
        </w:rPr>
      </w:pPr>
      <w:r>
        <w:rPr>
          <w:rFonts w:hint="eastAsia" w:ascii="宋体" w:hAnsi="宋体" w:cs="宋体"/>
        </w:rPr>
        <w:t>26、开标活动应当符合相关法律法规。</w:t>
      </w:r>
    </w:p>
    <w:p>
      <w:pPr>
        <w:spacing w:line="360" w:lineRule="auto"/>
        <w:ind w:firstLine="420" w:firstLineChars="200"/>
        <w:rPr>
          <w:rFonts w:ascii="宋体" w:hAnsi="宋体" w:cs="宋体"/>
        </w:rPr>
      </w:pPr>
      <w:r>
        <w:rPr>
          <w:rFonts w:hint="eastAsia" w:ascii="宋体" w:hAnsi="宋体" w:cs="宋体"/>
        </w:rPr>
        <w:t>27、开标会议</w:t>
      </w:r>
    </w:p>
    <w:p>
      <w:pPr>
        <w:spacing w:line="360" w:lineRule="auto"/>
        <w:ind w:firstLine="420" w:firstLineChars="200"/>
        <w:rPr>
          <w:rFonts w:ascii="宋体" w:hAnsi="宋体" w:cs="宋体"/>
        </w:rPr>
      </w:pPr>
      <w:r>
        <w:rPr>
          <w:rFonts w:hint="eastAsia" w:ascii="宋体" w:hAnsi="宋体" w:cs="宋体"/>
        </w:rPr>
        <w:t>27.1主持人按竞争性磋商时间安排表所规定的时间和地点开标，并邀请所有供应商代表参加。供应商法定代表人或其授权委托代理人应携带身份证明、磋商响应文件参加开标并签到。</w:t>
      </w:r>
    </w:p>
    <w:p>
      <w:pPr>
        <w:spacing w:line="360" w:lineRule="auto"/>
        <w:ind w:firstLine="420" w:firstLineChars="200"/>
        <w:rPr>
          <w:rFonts w:ascii="宋体" w:hAnsi="宋体" w:cs="宋体"/>
        </w:rPr>
      </w:pPr>
      <w:r>
        <w:rPr>
          <w:rFonts w:hint="eastAsia" w:ascii="宋体" w:hAnsi="宋体" w:cs="宋体"/>
        </w:rPr>
        <w:t>27.2 按规定提交合格的撤回通知的磋商响应文件不予开封，并退回给供应商。</w:t>
      </w:r>
    </w:p>
    <w:p>
      <w:pPr>
        <w:spacing w:line="360" w:lineRule="auto"/>
        <w:ind w:firstLine="420" w:firstLineChars="200"/>
        <w:rPr>
          <w:rFonts w:ascii="宋体" w:hAnsi="宋体" w:cs="宋体"/>
        </w:rPr>
      </w:pPr>
      <w:r>
        <w:rPr>
          <w:rFonts w:hint="eastAsia" w:ascii="宋体" w:hAnsi="宋体" w:cs="宋体"/>
        </w:rPr>
        <w:t>27.3 开标由采购代理机构相关人员主持，主持人并按下列程序进行，任何对开标期间的质疑应当在开标当场即时提出，否则视同供应商对开标过程理解和接受。</w:t>
      </w:r>
    </w:p>
    <w:p>
      <w:pPr>
        <w:spacing w:line="360" w:lineRule="auto"/>
        <w:ind w:firstLine="420" w:firstLineChars="200"/>
        <w:rPr>
          <w:rFonts w:ascii="宋体" w:hAnsi="宋体" w:cs="宋体"/>
        </w:rPr>
      </w:pPr>
      <w:r>
        <w:rPr>
          <w:rFonts w:hint="eastAsia" w:ascii="宋体" w:hAnsi="宋体" w:cs="宋体"/>
        </w:rPr>
        <w:t>27.3.1主持人公布在磋商响应截止时间前递交磋商响应文件的供应商名称，并与供应商代表检查磋商响应文件有效性和密封情况。有质疑的应当场提出。</w:t>
      </w:r>
    </w:p>
    <w:p>
      <w:pPr>
        <w:spacing w:line="360" w:lineRule="auto"/>
        <w:ind w:firstLine="420" w:firstLineChars="200"/>
        <w:rPr>
          <w:rFonts w:ascii="宋体" w:hAnsi="宋体" w:cs="宋体"/>
        </w:rPr>
      </w:pPr>
      <w:r>
        <w:rPr>
          <w:rFonts w:hint="eastAsia" w:ascii="宋体" w:hAnsi="宋体" w:cs="宋体"/>
        </w:rPr>
        <w:t>27.3.2供应商应在投标截止时间前到达开标现场，未在投标截止时间前到达开标现场的，视同放弃投标。</w:t>
      </w:r>
    </w:p>
    <w:p>
      <w:pPr>
        <w:spacing w:line="360" w:lineRule="auto"/>
        <w:ind w:firstLine="420" w:firstLineChars="200"/>
        <w:rPr>
          <w:rFonts w:ascii="宋体" w:hAnsi="宋体" w:cs="宋体"/>
        </w:rPr>
      </w:pPr>
      <w:r>
        <w:rPr>
          <w:rFonts w:hint="eastAsia" w:ascii="宋体" w:hAnsi="宋体" w:cs="宋体"/>
        </w:rPr>
        <w:t>27.3.3对磋商响应截止时间前递交的磋商响应文件由采购代理机构完成拆启工作，当众开标；</w:t>
      </w:r>
    </w:p>
    <w:p>
      <w:pPr>
        <w:spacing w:line="360" w:lineRule="auto"/>
        <w:ind w:firstLine="420" w:firstLineChars="200"/>
        <w:rPr>
          <w:rFonts w:ascii="宋体" w:hAnsi="宋体" w:cs="宋体"/>
        </w:rPr>
      </w:pPr>
      <w:r>
        <w:rPr>
          <w:rFonts w:hint="eastAsia" w:ascii="宋体" w:hAnsi="宋体" w:cs="宋体"/>
        </w:rPr>
        <w:t>27.3.4采购代理机构公布供应商名称等采购代理机构认为合适的其它详细内容。各供应商对开标情况记录进行签字确认。</w:t>
      </w:r>
    </w:p>
    <w:p>
      <w:pPr>
        <w:spacing w:line="360" w:lineRule="auto"/>
        <w:ind w:firstLine="422" w:firstLineChars="200"/>
        <w:rPr>
          <w:rFonts w:ascii="宋体" w:hAnsi="宋体" w:cs="宋体"/>
          <w:b/>
          <w:bCs/>
        </w:rPr>
      </w:pPr>
      <w:r>
        <w:rPr>
          <w:rFonts w:hint="eastAsia" w:ascii="宋体" w:hAnsi="宋体" w:cs="宋体"/>
          <w:b/>
          <w:bCs/>
        </w:rPr>
        <w:t>七、评标定标</w:t>
      </w:r>
    </w:p>
    <w:p>
      <w:pPr>
        <w:spacing w:line="360" w:lineRule="auto"/>
        <w:ind w:firstLine="420" w:firstLineChars="200"/>
        <w:rPr>
          <w:rFonts w:ascii="宋体" w:hAnsi="宋体" w:cs="宋体"/>
        </w:rPr>
      </w:pPr>
      <w:r>
        <w:rPr>
          <w:rFonts w:hint="eastAsia" w:ascii="宋体" w:hAnsi="宋体" w:cs="宋体"/>
        </w:rPr>
        <w:t>28、磋商与评标</w:t>
      </w:r>
    </w:p>
    <w:p>
      <w:pPr>
        <w:spacing w:line="360" w:lineRule="auto"/>
        <w:ind w:firstLine="420" w:firstLineChars="200"/>
        <w:rPr>
          <w:rFonts w:ascii="宋体" w:hAnsi="宋体" w:cs="宋体"/>
        </w:rPr>
      </w:pPr>
      <w:r>
        <w:rPr>
          <w:rFonts w:hint="eastAsia" w:ascii="宋体" w:hAnsi="宋体" w:cs="宋体"/>
        </w:rPr>
        <w:t>28.1磋商与评审程序</w:t>
      </w:r>
    </w:p>
    <w:p>
      <w:pPr>
        <w:spacing w:line="360" w:lineRule="auto"/>
        <w:ind w:firstLine="420" w:firstLineChars="200"/>
        <w:rPr>
          <w:rFonts w:ascii="宋体" w:hAnsi="宋体" w:cs="宋体"/>
        </w:rPr>
      </w:pPr>
      <w:r>
        <w:rPr>
          <w:rFonts w:hint="eastAsia" w:ascii="宋体" w:hAnsi="宋体" w:cs="宋体"/>
        </w:rPr>
        <w:t>28.1.1磋商小组由采购人依法组建，成员人数为3人以上单数。</w:t>
      </w:r>
    </w:p>
    <w:p>
      <w:pPr>
        <w:spacing w:line="360" w:lineRule="auto"/>
        <w:ind w:firstLine="420" w:firstLineChars="200"/>
        <w:rPr>
          <w:rFonts w:ascii="宋体" w:hAnsi="宋体" w:cs="宋体"/>
        </w:rPr>
      </w:pPr>
      <w:r>
        <w:rPr>
          <w:rFonts w:hint="eastAsia" w:ascii="宋体" w:hAnsi="宋体" w:cs="宋体"/>
        </w:rPr>
        <w:t>28.1.2磋商小组首先对供应商的有效性进行审查。</w:t>
      </w:r>
    </w:p>
    <w:p>
      <w:pPr>
        <w:spacing w:line="360" w:lineRule="auto"/>
        <w:ind w:firstLine="420" w:firstLineChars="200"/>
        <w:rPr>
          <w:rFonts w:ascii="宋体" w:hAnsi="宋体" w:cs="宋体"/>
        </w:rPr>
      </w:pPr>
      <w:r>
        <w:rPr>
          <w:rFonts w:hint="eastAsia" w:ascii="宋体" w:hAnsi="宋体" w:cs="宋体"/>
        </w:rPr>
        <w:t>28.1.3磋商开始前，磋商小组将认真审查供应商提交的磋商响应书，了解其与磋商文件要求是否有偏离，并对照本磋商文件规定评判供应商是否合格。审查完磋商响应书后，对合格供应商提供的样品(如有)进行检验。</w:t>
      </w:r>
    </w:p>
    <w:p>
      <w:pPr>
        <w:spacing w:line="360" w:lineRule="auto"/>
        <w:ind w:firstLine="420" w:firstLineChars="200"/>
        <w:rPr>
          <w:rFonts w:ascii="宋体" w:hAnsi="宋体" w:cs="宋体"/>
        </w:rPr>
      </w:pPr>
      <w:r>
        <w:rPr>
          <w:rFonts w:hint="eastAsia" w:ascii="宋体" w:hAnsi="宋体" w:cs="宋体"/>
        </w:rPr>
        <w:t>28.1.4 磋商小组所有成员集中与单一供应商进行逐一磋商。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20" w:firstLineChars="200"/>
        <w:rPr>
          <w:rFonts w:ascii="宋体" w:hAnsi="宋体" w:cs="宋体"/>
        </w:rPr>
      </w:pPr>
      <w:r>
        <w:rPr>
          <w:rFonts w:hint="eastAsia" w:ascii="宋体" w:hAnsi="宋体" w:cs="宋体"/>
        </w:rPr>
        <w:t>对磋商文件作出的实质性变动是磋商文件的有效组成部分，磋商小组应当及时以书面形式同时通知所有参加磋商的供应商。</w:t>
      </w:r>
    </w:p>
    <w:p>
      <w:pPr>
        <w:spacing w:line="360" w:lineRule="auto"/>
        <w:ind w:firstLine="420" w:firstLineChars="200"/>
        <w:rPr>
          <w:rFonts w:ascii="宋体" w:hAnsi="宋体" w:cs="宋体"/>
        </w:rPr>
      </w:pPr>
      <w:r>
        <w:rPr>
          <w:rFonts w:hint="eastAsia" w:ascii="宋体" w:hAnsi="宋体" w:cs="宋体"/>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line="360" w:lineRule="auto"/>
        <w:ind w:firstLine="420" w:firstLineChars="200"/>
        <w:rPr>
          <w:rFonts w:ascii="宋体" w:hAnsi="宋体" w:cs="宋体"/>
        </w:rPr>
      </w:pPr>
      <w:r>
        <w:rPr>
          <w:rFonts w:hint="eastAsia" w:ascii="宋体" w:hAnsi="宋体" w:cs="宋体"/>
        </w:rPr>
        <w:t>28.1.5对否定的供应商，磋商小组要提出充足的否定理由，并填写在评审记录上；对评审结果持有异议的，按照少数服从多数的原则由评委采取投票方式表决确定并记录入评审记录。</w:t>
      </w:r>
    </w:p>
    <w:p>
      <w:pPr>
        <w:spacing w:line="360" w:lineRule="auto"/>
        <w:ind w:firstLine="420" w:firstLineChars="200"/>
        <w:rPr>
          <w:rFonts w:ascii="宋体" w:hAnsi="宋体" w:cs="宋体"/>
        </w:rPr>
      </w:pPr>
      <w:r>
        <w:rPr>
          <w:rFonts w:hint="eastAsia" w:ascii="宋体" w:hAnsi="宋体" w:cs="宋体"/>
        </w:rPr>
        <w:t>28.2磋商</w:t>
      </w:r>
    </w:p>
    <w:p>
      <w:pPr>
        <w:spacing w:line="360" w:lineRule="auto"/>
        <w:ind w:firstLine="420" w:firstLineChars="200"/>
        <w:rPr>
          <w:rFonts w:ascii="宋体" w:hAnsi="宋体" w:cs="宋体"/>
        </w:rPr>
      </w:pPr>
      <w:r>
        <w:rPr>
          <w:rFonts w:hint="eastAsia" w:ascii="宋体" w:hAnsi="宋体" w:cs="宋体"/>
        </w:rPr>
        <w:t xml:space="preserve">28.2.1在掌握了供应商磋商响应书及样品（如有）的基本情况后，磋商小组将与供应商分别进行磋商。 </w:t>
      </w:r>
    </w:p>
    <w:p>
      <w:pPr>
        <w:spacing w:line="360" w:lineRule="auto"/>
        <w:ind w:firstLine="420" w:firstLineChars="200"/>
        <w:rPr>
          <w:rFonts w:ascii="宋体" w:hAnsi="宋体" w:cs="宋体"/>
        </w:rPr>
      </w:pPr>
      <w:r>
        <w:rPr>
          <w:rFonts w:hint="eastAsia" w:ascii="宋体" w:hAnsi="宋体" w:cs="宋体"/>
        </w:rPr>
        <w:t>28.2.2在磋商过程中，磋商小组可以根据磋商文件和磋商情况实质性变动采购需求中的技术、服务要求以及合同草案条款，实质性变动内容是磋商文件的有效组成部分。实质性变动的内容，经采购人代表确认。</w:t>
      </w:r>
    </w:p>
    <w:p>
      <w:pPr>
        <w:spacing w:line="360" w:lineRule="auto"/>
        <w:ind w:firstLine="420" w:firstLineChars="200"/>
        <w:rPr>
          <w:rFonts w:ascii="宋体" w:hAnsi="宋体" w:cs="宋体"/>
        </w:rPr>
      </w:pPr>
      <w:r>
        <w:rPr>
          <w:rFonts w:hint="eastAsia" w:ascii="宋体" w:hAnsi="宋体" w:cs="宋体"/>
        </w:rPr>
        <w:t>对磋商文件作出的实质性变动是磋商文件的有效组成部分，磋商小组应当及时以书面形式同时通知所有参加磋商的供应商。</w:t>
      </w:r>
    </w:p>
    <w:p>
      <w:pPr>
        <w:spacing w:line="360" w:lineRule="auto"/>
        <w:ind w:firstLine="420" w:firstLineChars="200"/>
        <w:rPr>
          <w:rFonts w:ascii="宋体" w:hAnsi="宋体" w:cs="宋体"/>
        </w:rPr>
      </w:pPr>
      <w:r>
        <w:rPr>
          <w:rFonts w:hint="eastAsia" w:ascii="宋体" w:hAnsi="宋体" w:cs="宋体"/>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line="360" w:lineRule="auto"/>
        <w:ind w:firstLine="420" w:firstLineChars="200"/>
        <w:rPr>
          <w:rFonts w:ascii="宋体" w:hAnsi="宋体" w:cs="宋体"/>
        </w:rPr>
      </w:pPr>
      <w:r>
        <w:rPr>
          <w:rFonts w:hint="eastAsia" w:ascii="宋体" w:hAnsi="宋体" w:cs="宋体"/>
        </w:rPr>
        <w:t>28.3 报价</w:t>
      </w:r>
    </w:p>
    <w:p>
      <w:pPr>
        <w:spacing w:line="360" w:lineRule="auto"/>
        <w:ind w:firstLine="420" w:firstLineChars="200"/>
        <w:rPr>
          <w:rFonts w:ascii="宋体" w:hAnsi="宋体" w:cs="宋体"/>
        </w:rPr>
      </w:pPr>
      <w:r>
        <w:rPr>
          <w:rFonts w:hint="eastAsia" w:ascii="宋体" w:hAnsi="宋体" w:cs="宋体"/>
        </w:rPr>
        <w:t>28.3.1响应报价超过项目预算控制数或不按规定格式进行报价的属于无效响应。报价表应按要求填写并装订入响应文件内。</w:t>
      </w:r>
    </w:p>
    <w:p>
      <w:pPr>
        <w:spacing w:line="360" w:lineRule="auto"/>
        <w:ind w:firstLine="420" w:firstLineChars="200"/>
        <w:rPr>
          <w:rFonts w:ascii="宋体" w:hAnsi="宋体" w:cs="宋体"/>
        </w:rPr>
      </w:pPr>
      <w:r>
        <w:rPr>
          <w:rFonts w:hint="eastAsia" w:ascii="宋体" w:hAnsi="宋体" w:cs="宋体"/>
        </w:rPr>
        <w:t>28.3.2磋商结束后，磋商小组要求所有继续参加磋商的供应商在规定的时间内提交最后报价（如磋商过程中没有增加货物、工程数量或服务要求的，则二次报价时不得高于磋商响应书中的报价）。现场二次报价或者最后报价时仅报出总价，成交后，其单价部分按最后报价总价下降幅度同比例下降。</w:t>
      </w:r>
    </w:p>
    <w:p>
      <w:pPr>
        <w:spacing w:line="360" w:lineRule="auto"/>
        <w:ind w:firstLine="420" w:firstLineChars="200"/>
        <w:rPr>
          <w:rFonts w:ascii="宋体" w:hAnsi="宋体" w:cs="宋体"/>
        </w:rPr>
      </w:pPr>
      <w:r>
        <w:rPr>
          <w:rFonts w:hint="eastAsia" w:ascii="宋体" w:hAnsi="宋体" w:cs="宋体"/>
        </w:rPr>
        <w:t>29、成交候选人</w:t>
      </w:r>
    </w:p>
    <w:p>
      <w:pPr>
        <w:spacing w:line="360" w:lineRule="auto"/>
        <w:ind w:firstLine="420" w:firstLineChars="200"/>
        <w:rPr>
          <w:rFonts w:ascii="宋体" w:hAnsi="宋体" w:cs="宋体"/>
        </w:rPr>
      </w:pPr>
      <w:r>
        <w:rPr>
          <w:rFonts w:hint="eastAsia" w:ascii="宋体" w:hAnsi="宋体" w:cs="宋体"/>
        </w:rPr>
        <w:t>29.1推荐成交候选人。在全部满足磋商文件实质性要求前提下，按照磋商文件中规定的各项因素进行综合评审，以总得分由高到低的顺序并经须知前附表中要求的信用信息查询后，提出成交候选供应商。</w:t>
      </w:r>
    </w:p>
    <w:p>
      <w:pPr>
        <w:spacing w:line="360" w:lineRule="auto"/>
        <w:ind w:firstLine="420" w:firstLineChars="200"/>
        <w:rPr>
          <w:rFonts w:ascii="宋体" w:hAnsi="宋体" w:cs="宋体"/>
        </w:rPr>
      </w:pPr>
      <w:r>
        <w:rPr>
          <w:rFonts w:hint="eastAsia" w:ascii="宋体" w:hAnsi="宋体" w:cs="宋体"/>
        </w:rPr>
        <w:t>29.2评标过程的保密</w:t>
      </w:r>
    </w:p>
    <w:p>
      <w:pPr>
        <w:spacing w:line="360" w:lineRule="auto"/>
        <w:ind w:firstLine="420" w:firstLineChars="200"/>
        <w:rPr>
          <w:rFonts w:ascii="宋体" w:hAnsi="宋体" w:cs="宋体"/>
        </w:rPr>
      </w:pPr>
      <w:r>
        <w:rPr>
          <w:rFonts w:hint="eastAsia" w:ascii="宋体" w:hAnsi="宋体" w:cs="宋体"/>
        </w:rPr>
        <w:t>开标后，直至授予成交供应商合同为止，凡属于对磋商响应文件的审查、澄清、评价和比较的有关资料以及成交候选人的推荐情况，与评标有关的其他任何情况均严格保密。</w:t>
      </w:r>
    </w:p>
    <w:p>
      <w:pPr>
        <w:spacing w:line="360" w:lineRule="auto"/>
        <w:ind w:firstLine="420" w:firstLineChars="200"/>
        <w:rPr>
          <w:rFonts w:ascii="宋体" w:hAnsi="宋体" w:cs="宋体"/>
        </w:rPr>
      </w:pPr>
      <w:r>
        <w:rPr>
          <w:rFonts w:hint="eastAsia" w:ascii="宋体" w:hAnsi="宋体" w:cs="宋体"/>
        </w:rPr>
        <w:t>成交供应商确定后，采购人不对未成交供应商就评标过程以及未能成交原因作出任何解释。未成交供应商不得向磋商小组组成人员或其他有关人员询问评标过程的情况和索要材料。</w:t>
      </w:r>
    </w:p>
    <w:p>
      <w:pPr>
        <w:spacing w:line="360" w:lineRule="auto"/>
        <w:ind w:firstLine="420" w:firstLineChars="200"/>
        <w:rPr>
          <w:rFonts w:ascii="宋体" w:hAnsi="宋体" w:cs="宋体"/>
        </w:rPr>
      </w:pPr>
      <w:r>
        <w:rPr>
          <w:rFonts w:hint="eastAsia" w:ascii="宋体" w:hAnsi="宋体" w:cs="宋体"/>
        </w:rPr>
        <w:t>29.3异常情况处理</w:t>
      </w:r>
    </w:p>
    <w:p>
      <w:pPr>
        <w:spacing w:line="360" w:lineRule="auto"/>
        <w:ind w:firstLine="420" w:firstLineChars="200"/>
        <w:rPr>
          <w:rFonts w:ascii="宋体" w:hAnsi="宋体" w:cs="宋体"/>
        </w:rPr>
      </w:pPr>
      <w:r>
        <w:rPr>
          <w:rFonts w:hint="eastAsia" w:ascii="宋体" w:hAnsi="宋体" w:cs="宋体"/>
        </w:rPr>
        <w:t>出现以下情况之一的，将重新组织磋商：</w:t>
      </w:r>
    </w:p>
    <w:p>
      <w:pPr>
        <w:spacing w:line="360" w:lineRule="auto"/>
        <w:ind w:firstLine="420" w:firstLineChars="200"/>
        <w:rPr>
          <w:rFonts w:ascii="宋体" w:hAnsi="宋体" w:cs="宋体"/>
        </w:rPr>
      </w:pPr>
      <w:r>
        <w:rPr>
          <w:rFonts w:hint="eastAsia" w:ascii="宋体" w:hAnsi="宋体" w:cs="宋体"/>
        </w:rPr>
        <w:t>29.3.1经过磋商，供应商所提供的服务仍无法满足磋商文件实质性要求、影响工作的；</w:t>
      </w:r>
    </w:p>
    <w:p>
      <w:pPr>
        <w:spacing w:line="360" w:lineRule="auto"/>
        <w:ind w:firstLine="420" w:firstLineChars="200"/>
        <w:rPr>
          <w:rFonts w:ascii="宋体" w:hAnsi="宋体" w:cs="宋体"/>
        </w:rPr>
      </w:pPr>
      <w:r>
        <w:rPr>
          <w:rFonts w:hint="eastAsia" w:ascii="宋体" w:hAnsi="宋体" w:cs="宋体"/>
        </w:rPr>
        <w:t>29.3.2出现影响采购公正的违法、违规行为的。</w:t>
      </w:r>
    </w:p>
    <w:p>
      <w:pPr>
        <w:spacing w:line="360" w:lineRule="auto"/>
        <w:ind w:firstLine="420" w:firstLineChars="200"/>
        <w:rPr>
          <w:rFonts w:ascii="宋体" w:hAnsi="宋体" w:cs="宋体"/>
        </w:rPr>
      </w:pPr>
      <w:r>
        <w:rPr>
          <w:rFonts w:hint="eastAsia" w:ascii="宋体" w:hAnsi="宋体" w:cs="宋体"/>
        </w:rPr>
        <w:t>30、质疑和投诉</w:t>
      </w:r>
    </w:p>
    <w:p>
      <w:pPr>
        <w:spacing w:line="360" w:lineRule="auto"/>
        <w:ind w:firstLine="420" w:firstLineChars="200"/>
        <w:rPr>
          <w:rFonts w:ascii="宋体" w:hAnsi="宋体" w:cs="宋体"/>
        </w:rPr>
      </w:pPr>
      <w:r>
        <w:rPr>
          <w:rFonts w:hint="eastAsia" w:ascii="宋体" w:hAnsi="宋体" w:cs="宋体"/>
        </w:rPr>
        <w:t>供应商应在法定质疑期内一次性提出针对同一采购程序环节的质疑。提出质疑的供应商应当是参与所质疑项目采购活动的供应商。</w:t>
      </w:r>
    </w:p>
    <w:p>
      <w:pPr>
        <w:spacing w:line="360" w:lineRule="auto"/>
        <w:ind w:firstLine="420" w:firstLineChars="200"/>
        <w:rPr>
          <w:rFonts w:ascii="宋体" w:hAnsi="宋体" w:cs="宋体"/>
        </w:rPr>
      </w:pPr>
      <w:r>
        <w:rPr>
          <w:rFonts w:hint="eastAsia" w:ascii="宋体" w:hAnsi="宋体" w:cs="宋体"/>
        </w:rPr>
        <w:t>提出质疑的供应商委托代理人进行质疑的。其授权委托书应当载明代理人的姓名或者名称、代理事项、具体权限、期限和相关事项。供应商为自然人的，应当由本人签字；供应商为法人或者其他组织的，应当由法定代表人、主要负责人签字或者盖章，并加盖公章。并在递交质疑函时一并递交授权委托书。</w:t>
      </w:r>
    </w:p>
    <w:p>
      <w:pPr>
        <w:spacing w:line="360" w:lineRule="auto"/>
        <w:ind w:firstLine="420" w:firstLineChars="200"/>
        <w:rPr>
          <w:rFonts w:ascii="宋体" w:hAnsi="宋体" w:cs="宋体"/>
        </w:rPr>
      </w:pPr>
      <w:r>
        <w:rPr>
          <w:rFonts w:hint="eastAsia" w:ascii="宋体" w:hAnsi="宋体" w:cs="宋体"/>
        </w:rPr>
        <w:t>供应商如对本采购文件有任何疑问或澄清要求，应在知其权益受到损害之日起七个工作日内提出。否则视同供应商对文件理解和接受。</w:t>
      </w:r>
    </w:p>
    <w:p>
      <w:pPr>
        <w:spacing w:line="360" w:lineRule="auto"/>
        <w:ind w:firstLine="420" w:firstLineChars="200"/>
        <w:rPr>
          <w:rFonts w:ascii="宋体" w:hAnsi="宋体" w:cs="宋体"/>
        </w:rPr>
      </w:pPr>
      <w:r>
        <w:rPr>
          <w:rFonts w:hint="eastAsia" w:ascii="宋体" w:hAnsi="宋体" w:cs="宋体"/>
        </w:rPr>
        <w:t>供应商对成交公告有质疑的，应在成交公告期限届满之日起七个工作日前提出。</w:t>
      </w:r>
    </w:p>
    <w:p>
      <w:pPr>
        <w:spacing w:line="360" w:lineRule="auto"/>
        <w:ind w:firstLine="420" w:firstLineChars="200"/>
        <w:rPr>
          <w:rFonts w:ascii="宋体" w:hAnsi="宋体" w:cs="宋体"/>
        </w:rPr>
      </w:pPr>
      <w:r>
        <w:rPr>
          <w:rFonts w:hint="eastAsia" w:ascii="宋体" w:hAnsi="宋体" w:cs="宋体"/>
        </w:rPr>
        <w:t>关于采购文件中非通用条款部分方面及评标结果的质疑向采购人提出，采购人在七个工作日内作出答复。关于采购文件通用条款部分以及采购程序方面的质疑向采购主管部门提出，由其作出答复。质疑人对答复内容不满意的或受理单位未在规定时间内作出答复的，可在答复期满后十五个工作日内向监督管理部门提出投诉。相关联系人及联系方式根据质疑提出阶段的不同分别见采购公告和成交公告。</w:t>
      </w:r>
    </w:p>
    <w:p>
      <w:pPr>
        <w:spacing w:line="360" w:lineRule="auto"/>
        <w:ind w:firstLine="422" w:firstLineChars="200"/>
        <w:rPr>
          <w:rFonts w:ascii="宋体" w:hAnsi="宋体" w:cs="宋体"/>
          <w:b/>
          <w:bCs/>
        </w:rPr>
      </w:pPr>
      <w:r>
        <w:rPr>
          <w:rFonts w:hint="eastAsia" w:ascii="宋体" w:hAnsi="宋体" w:cs="宋体"/>
          <w:b/>
          <w:bCs/>
        </w:rPr>
        <w:t>八、废标</w:t>
      </w:r>
    </w:p>
    <w:p>
      <w:pPr>
        <w:spacing w:line="360" w:lineRule="auto"/>
        <w:ind w:firstLine="420" w:firstLineChars="200"/>
        <w:rPr>
          <w:rFonts w:ascii="宋体" w:hAnsi="宋体" w:cs="宋体"/>
        </w:rPr>
      </w:pPr>
      <w:r>
        <w:rPr>
          <w:rFonts w:hint="eastAsia" w:ascii="宋体" w:hAnsi="宋体" w:cs="宋体"/>
        </w:rPr>
        <w:t>31、在竞争性磋商采购中，出现下列情形之一的，本项目废标：</w:t>
      </w:r>
    </w:p>
    <w:p>
      <w:pPr>
        <w:spacing w:line="360" w:lineRule="auto"/>
        <w:ind w:firstLine="420" w:firstLineChars="200"/>
        <w:rPr>
          <w:rFonts w:ascii="宋体" w:hAnsi="宋体" w:cs="宋体"/>
        </w:rPr>
      </w:pPr>
      <w:r>
        <w:rPr>
          <w:rFonts w:hint="eastAsia" w:ascii="宋体" w:hAnsi="宋体" w:cs="宋体"/>
        </w:rPr>
        <w:t>31.1合格供应商不足规定家数的；</w:t>
      </w:r>
    </w:p>
    <w:p>
      <w:pPr>
        <w:spacing w:line="360" w:lineRule="auto"/>
        <w:ind w:firstLine="420" w:firstLineChars="200"/>
        <w:rPr>
          <w:rFonts w:ascii="宋体" w:hAnsi="宋体" w:cs="宋体"/>
        </w:rPr>
      </w:pPr>
      <w:r>
        <w:rPr>
          <w:rFonts w:hint="eastAsia" w:ascii="宋体" w:hAnsi="宋体" w:cs="宋体"/>
        </w:rPr>
        <w:t xml:space="preserve">31.2出现影响采购公正的违法、违规行为的； </w:t>
      </w:r>
    </w:p>
    <w:p>
      <w:pPr>
        <w:spacing w:line="360" w:lineRule="auto"/>
        <w:ind w:firstLine="420" w:firstLineChars="200"/>
        <w:rPr>
          <w:rFonts w:ascii="宋体" w:hAnsi="宋体" w:cs="宋体"/>
        </w:rPr>
      </w:pPr>
      <w:r>
        <w:rPr>
          <w:rFonts w:hint="eastAsia" w:ascii="宋体" w:hAnsi="宋体" w:cs="宋体"/>
        </w:rPr>
        <w:t xml:space="preserve">31.3采购需求出现重大问题，导致磋商小组认为无法继续评审的；   </w:t>
      </w:r>
    </w:p>
    <w:p>
      <w:pPr>
        <w:spacing w:line="360" w:lineRule="auto"/>
        <w:ind w:firstLine="420" w:firstLineChars="200"/>
        <w:rPr>
          <w:rFonts w:ascii="宋体" w:hAnsi="宋体" w:cs="宋体"/>
        </w:rPr>
      </w:pPr>
      <w:r>
        <w:rPr>
          <w:rFonts w:hint="eastAsia" w:ascii="宋体" w:hAnsi="宋体" w:cs="宋体"/>
        </w:rPr>
        <w:t>31.4因重大变故，采购任务取消的。</w:t>
      </w:r>
    </w:p>
    <w:p>
      <w:pPr>
        <w:spacing w:line="360" w:lineRule="auto"/>
        <w:ind w:firstLine="420" w:firstLineChars="200"/>
        <w:rPr>
          <w:rFonts w:ascii="宋体" w:hAnsi="宋体" w:cs="宋体"/>
        </w:rPr>
      </w:pPr>
      <w:r>
        <w:rPr>
          <w:rFonts w:hint="eastAsia" w:ascii="宋体" w:hAnsi="宋体" w:cs="宋体"/>
        </w:rPr>
        <w:t>31.5法律法规规定的其他应该废标的情形。</w:t>
      </w:r>
    </w:p>
    <w:p>
      <w:pPr>
        <w:spacing w:line="360" w:lineRule="auto"/>
        <w:ind w:firstLine="422" w:firstLineChars="200"/>
        <w:rPr>
          <w:rFonts w:ascii="宋体" w:hAnsi="宋体" w:cs="宋体"/>
          <w:b/>
          <w:bCs/>
        </w:rPr>
      </w:pPr>
      <w:r>
        <w:rPr>
          <w:rFonts w:hint="eastAsia" w:ascii="宋体" w:hAnsi="宋体" w:cs="宋体"/>
          <w:b/>
          <w:bCs/>
        </w:rPr>
        <w:t>九、评标办法</w:t>
      </w:r>
    </w:p>
    <w:p>
      <w:pPr>
        <w:spacing w:line="360" w:lineRule="auto"/>
        <w:ind w:firstLine="420" w:firstLineChars="200"/>
        <w:rPr>
          <w:rFonts w:ascii="宋体" w:hAnsi="宋体" w:cs="宋体"/>
        </w:rPr>
      </w:pPr>
      <w:r>
        <w:rPr>
          <w:rFonts w:hint="eastAsia" w:ascii="宋体" w:hAnsi="宋体" w:cs="宋体"/>
        </w:rPr>
        <w:t>本着坚持“公开、公平、公正”的原则，为维护磋商响应双方的合法权益，增加评标工作透明度，保证评标、定标的科学性、公正性和可操作性，根据《中华人民共和国政府采购法》、《中华人民共和国政府采购法实施条例》、《政府采购货物和服务招标投标管理办法》等法律法规的精神，并结合本项目实际制定本办法。</w:t>
      </w:r>
    </w:p>
    <w:p>
      <w:pPr>
        <w:spacing w:line="360" w:lineRule="auto"/>
        <w:ind w:firstLine="420" w:firstLineChars="200"/>
        <w:rPr>
          <w:rFonts w:ascii="宋体" w:hAnsi="宋体" w:cs="宋体"/>
          <w:b/>
          <w:bCs/>
          <w:u w:val="single"/>
        </w:rPr>
      </w:pPr>
      <w:r>
        <w:rPr>
          <w:rFonts w:hint="eastAsia" w:ascii="宋体" w:hAnsi="宋体" w:cs="宋体"/>
        </w:rPr>
        <w:t>综合评分法，即在全部满足磋商文件实质性要求前提下，按照磋商文件中规定的各项因素进行综合评审，以总得分由高到低的顺序并经须知前附表中要求的信用信息查询后，提出成交候选供应商。得分相同时，按投标报价由低到高顺序排列。得分且投标报价相同的，由专家按服务方案优劣顺序进行排序。服务方案得分相同时，则由投标供应商在相关部门的监督下现场抽签决定排序，若有投标供应商不能及时参加现场抽签的，则由采购人或采购代理机构在监督下代为抽取，不论何种理由不能参加现场抽签的投标人应无条件认可抽签结果。</w:t>
      </w:r>
    </w:p>
    <w:p>
      <w:pPr>
        <w:spacing w:line="360" w:lineRule="auto"/>
        <w:ind w:firstLine="420" w:firstLineChars="200"/>
        <w:rPr>
          <w:rFonts w:ascii="宋体" w:hAnsi="宋体" w:cs="宋体"/>
        </w:rPr>
      </w:pPr>
      <w:r>
        <w:rPr>
          <w:rFonts w:hint="eastAsia" w:ascii="宋体" w:hAnsi="宋体" w:cs="宋体"/>
        </w:rPr>
        <w:t>32、评标程序</w:t>
      </w:r>
    </w:p>
    <w:p>
      <w:pPr>
        <w:spacing w:line="360" w:lineRule="auto"/>
        <w:ind w:firstLine="420" w:firstLineChars="200"/>
        <w:rPr>
          <w:rFonts w:ascii="宋体" w:hAnsi="宋体" w:cs="宋体"/>
        </w:rPr>
      </w:pPr>
      <w:r>
        <w:rPr>
          <w:rFonts w:hint="eastAsia" w:ascii="宋体" w:hAnsi="宋体" w:cs="宋体"/>
        </w:rPr>
        <w:t>磋商小组应认真研究磋商文件及采购需求，应了解和熟悉竞争性磋商项目的范围、性质、特征主要技术服务要求及标准、评审标准等相关内容：</w:t>
      </w:r>
    </w:p>
    <w:p>
      <w:pPr>
        <w:spacing w:line="360" w:lineRule="auto"/>
        <w:ind w:firstLine="420" w:firstLineChars="200"/>
        <w:rPr>
          <w:rFonts w:ascii="宋体" w:hAnsi="宋体" w:cs="宋体"/>
        </w:rPr>
      </w:pPr>
      <w:r>
        <w:rPr>
          <w:rFonts w:hint="eastAsia" w:ascii="宋体" w:hAnsi="宋体" w:cs="宋体"/>
        </w:rPr>
        <w:t>32.1磋商小组首先根据已发布的磋商文件核对磋商响应文件，与磋商文件内容不符的，按磋商文件内容对磋商响应文件进行修改。</w:t>
      </w:r>
    </w:p>
    <w:p>
      <w:pPr>
        <w:spacing w:line="360" w:lineRule="auto"/>
        <w:ind w:firstLine="420" w:firstLineChars="200"/>
        <w:rPr>
          <w:rFonts w:ascii="宋体" w:hAnsi="宋体" w:cs="宋体"/>
        </w:rPr>
      </w:pPr>
      <w:r>
        <w:rPr>
          <w:rFonts w:hint="eastAsia" w:ascii="宋体" w:hAnsi="宋体" w:cs="宋体"/>
        </w:rPr>
        <w:t>32.2磋商小组成员对响应文件有效性进行评审。</w:t>
      </w:r>
    </w:p>
    <w:p>
      <w:pPr>
        <w:spacing w:line="360" w:lineRule="auto"/>
        <w:ind w:firstLine="420" w:firstLineChars="200"/>
        <w:rPr>
          <w:rFonts w:ascii="宋体" w:hAnsi="宋体" w:cs="宋体"/>
        </w:rPr>
      </w:pPr>
      <w:r>
        <w:rPr>
          <w:rFonts w:hint="eastAsia" w:ascii="宋体" w:hAnsi="宋体" w:cs="宋体"/>
        </w:rPr>
        <w:t>32.3先进行有效性评审的，采用综合评分法的将技术与商务部分得分汇总后，最后再进行报价部分评审。磋商小组根据采购文件，推荐有排序的预成交候选人，并形成评标报告。</w:t>
      </w:r>
    </w:p>
    <w:p>
      <w:pPr>
        <w:spacing w:line="360" w:lineRule="auto"/>
        <w:ind w:firstLine="420" w:firstLineChars="200"/>
        <w:rPr>
          <w:rFonts w:ascii="宋体" w:hAnsi="宋体" w:cs="宋体"/>
        </w:rPr>
      </w:pPr>
      <w:r>
        <w:rPr>
          <w:rFonts w:hint="eastAsia" w:ascii="宋体" w:hAnsi="宋体" w:cs="宋体"/>
        </w:rPr>
        <w:t>32.3.1磋商小组发现供应商的磋商响应文件中对同类问题表述不一致、前后矛盾、有明显文字和计算错误的内容、有可能不符合磋商文件规定等情况需要澄清时，磋商小组将以询标的方式告知并要求供应商以书面方式进行必要的澄清、说明或补正。对否定的磋商响应文件，评委要提出充足的否定理由，并填写在评标记录上。对评审结果持有不同意见的，按照少数服从多数的原则由评委采取投票方式表决确定。磋商小组成员应当在评审报告上签字，对自己的评审意见承担法律责任。对评审报告有异议的，应当在评审报告上签署不同意见，并说明理由，否则视为同意评审报告。</w:t>
      </w:r>
    </w:p>
    <w:p>
      <w:pPr>
        <w:pStyle w:val="2"/>
        <w:ind w:firstLine="420"/>
      </w:pPr>
    </w:p>
    <w:p>
      <w:pPr>
        <w:spacing w:line="360" w:lineRule="auto"/>
        <w:ind w:firstLine="420" w:firstLineChars="200"/>
        <w:rPr>
          <w:rFonts w:ascii="宋体" w:hAnsi="宋体" w:cs="宋体"/>
        </w:rPr>
      </w:pPr>
      <w:r>
        <w:rPr>
          <w:rFonts w:hint="eastAsia" w:ascii="宋体" w:hAnsi="宋体" w:cs="宋体"/>
        </w:rPr>
        <w:t>32.3.2评审报告是磋商小组根据全体评标成员签字的原始评标记录和评标结果编写的报告，磋商小组全体成员均须在评审报告上签字。评审报告应如实记录本次评标的主要过程，全面反映评标过程中的各种不同的意见，以及其他澄清、说明、补正事项。</w:t>
      </w:r>
    </w:p>
    <w:p>
      <w:pPr>
        <w:spacing w:line="360" w:lineRule="auto"/>
        <w:ind w:firstLine="420" w:firstLineChars="200"/>
        <w:rPr>
          <w:rFonts w:ascii="宋体" w:hAnsi="宋体" w:cs="宋体"/>
        </w:rPr>
      </w:pPr>
      <w:r>
        <w:rPr>
          <w:rFonts w:hint="eastAsia" w:ascii="宋体" w:hAnsi="宋体" w:cs="宋体"/>
        </w:rPr>
        <w:t>32.3.3磋商小组在评标过程中发现的问题，应当区别情形及时作出处理。</w:t>
      </w:r>
    </w:p>
    <w:p>
      <w:pPr>
        <w:spacing w:line="360" w:lineRule="auto"/>
        <w:ind w:firstLine="420" w:firstLineChars="200"/>
        <w:rPr>
          <w:rFonts w:ascii="宋体" w:hAnsi="宋体" w:cs="宋体"/>
        </w:rPr>
      </w:pPr>
      <w:r>
        <w:rPr>
          <w:rFonts w:hint="eastAsia" w:ascii="宋体" w:hAnsi="宋体" w:cs="宋体"/>
        </w:rPr>
        <w:t>32.3.4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p>
      <w:pPr>
        <w:spacing w:line="360" w:lineRule="auto"/>
        <w:ind w:firstLine="420" w:firstLineChars="200"/>
        <w:rPr>
          <w:rFonts w:ascii="宋体" w:hAnsi="宋体" w:cs="宋体"/>
        </w:rPr>
      </w:pPr>
      <w:r>
        <w:rPr>
          <w:rFonts w:hint="eastAsia" w:ascii="宋体" w:hAnsi="宋体" w:cs="宋体"/>
        </w:rPr>
        <w:t>32.3.5如采购文件中要求提供原件进行审查的，各供应商应按采购文件要求将相关原件材料等带到开标现场，在开标截止时间前一并递交，迟交将不接收。相关原件的扫描件应当加盖公章装订在磋商响应文件内，由评标专家进行评审。</w:t>
      </w:r>
    </w:p>
    <w:p>
      <w:pPr>
        <w:spacing w:line="360" w:lineRule="auto"/>
        <w:ind w:firstLine="420" w:firstLineChars="200"/>
        <w:rPr>
          <w:rFonts w:ascii="宋体" w:hAnsi="宋体" w:cs="宋体"/>
        </w:rPr>
      </w:pPr>
      <w:r>
        <w:rPr>
          <w:rFonts w:hint="eastAsia" w:ascii="宋体" w:hAnsi="宋体" w:cs="宋体"/>
        </w:rPr>
        <w:t>32.3.6磋商小组评审磋商响应文件依据为磋商响应文件以及按采购文件要求递交的其它资料。</w:t>
      </w:r>
    </w:p>
    <w:p>
      <w:pPr>
        <w:spacing w:line="360" w:lineRule="auto"/>
        <w:ind w:firstLine="420" w:firstLineChars="200"/>
        <w:rPr>
          <w:rFonts w:ascii="宋体" w:hAnsi="宋体" w:cs="宋体"/>
        </w:rPr>
      </w:pPr>
      <w:r>
        <w:rPr>
          <w:rFonts w:hint="eastAsia" w:ascii="宋体" w:hAnsi="宋体" w:cs="宋体"/>
        </w:rPr>
        <w:t>32.3.7磋商小组和评标工作人员应严格遵守国家的法律、法规和规章制度；严格按照本次磋商文件进行评标；公正廉洁、不徇私情，不得损害国家利益；保护采购人、供应商的合法权益。</w:t>
      </w:r>
    </w:p>
    <w:p>
      <w:pPr>
        <w:spacing w:line="360" w:lineRule="auto"/>
        <w:ind w:firstLine="420" w:firstLineChars="200"/>
        <w:rPr>
          <w:rFonts w:ascii="宋体" w:hAnsi="宋体" w:cs="宋体"/>
        </w:rPr>
      </w:pPr>
      <w:r>
        <w:rPr>
          <w:rFonts w:hint="eastAsia" w:ascii="宋体" w:hAnsi="宋体" w:cs="宋体"/>
        </w:rPr>
        <w:t>32.4磋商小组发现采购文件内容违反国家有关强制性规定的，应当停止评审并向采购人及采购代理机构说明情况。</w:t>
      </w:r>
    </w:p>
    <w:p>
      <w:pPr>
        <w:spacing w:line="360" w:lineRule="auto"/>
        <w:ind w:firstLine="420" w:firstLineChars="200"/>
        <w:rPr>
          <w:rFonts w:ascii="宋体" w:hAnsi="宋体" w:cs="宋体"/>
        </w:rPr>
      </w:pPr>
      <w:r>
        <w:rPr>
          <w:rFonts w:hint="eastAsia" w:ascii="宋体" w:hAnsi="宋体" w:cs="宋体"/>
        </w:rPr>
        <w:t xml:space="preserve">32.5投标人存在以下不良信用记录情形之一,不得推荐为中标候选人: </w:t>
      </w:r>
    </w:p>
    <w:p>
      <w:pPr>
        <w:spacing w:line="360" w:lineRule="auto"/>
        <w:ind w:firstLine="420" w:firstLineChars="200"/>
        <w:rPr>
          <w:rFonts w:ascii="宋体" w:hAnsi="宋体" w:cs="宋体"/>
        </w:rPr>
      </w:pPr>
      <w:r>
        <w:rPr>
          <w:rFonts w:hint="eastAsia" w:ascii="宋体" w:hAnsi="宋体" w:cs="宋体"/>
        </w:rPr>
        <w:t>(1)投标人被人民法院列入失信被执行人的；</w:t>
      </w:r>
    </w:p>
    <w:p>
      <w:pPr>
        <w:spacing w:line="360" w:lineRule="auto"/>
        <w:ind w:firstLine="420" w:firstLineChars="200"/>
        <w:rPr>
          <w:rFonts w:ascii="宋体" w:hAnsi="宋体" w:cs="宋体"/>
        </w:rPr>
      </w:pPr>
      <w:r>
        <w:rPr>
          <w:rFonts w:hint="eastAsia" w:ascii="宋体" w:hAnsi="宋体" w:cs="宋体"/>
        </w:rPr>
        <w:t xml:space="preserve">(2)供应商被人民检察院列入行贿犯罪档案的； </w:t>
      </w:r>
    </w:p>
    <w:p>
      <w:pPr>
        <w:spacing w:line="360" w:lineRule="auto"/>
        <w:ind w:firstLine="420" w:firstLineChars="200"/>
        <w:rPr>
          <w:rFonts w:ascii="宋体" w:hAnsi="宋体" w:cs="宋体"/>
        </w:rPr>
      </w:pPr>
      <w:r>
        <w:rPr>
          <w:rFonts w:hint="eastAsia" w:ascii="宋体" w:hAnsi="宋体" w:cs="宋体"/>
        </w:rPr>
        <w:t>(3)投标人被工商行政管理部门列入企业经营异常名录的；</w:t>
      </w:r>
    </w:p>
    <w:p>
      <w:pPr>
        <w:spacing w:line="360" w:lineRule="auto"/>
        <w:ind w:firstLine="420" w:firstLineChars="200"/>
        <w:rPr>
          <w:rFonts w:ascii="宋体" w:hAnsi="宋体" w:cs="宋体"/>
        </w:rPr>
      </w:pPr>
      <w:r>
        <w:rPr>
          <w:rFonts w:hint="eastAsia" w:ascii="宋体" w:hAnsi="宋体" w:cs="宋体"/>
        </w:rPr>
        <w:t>(4)投标人被税务部门列入重大税收违法案件当事人名单的；</w:t>
      </w:r>
    </w:p>
    <w:p>
      <w:pPr>
        <w:spacing w:line="360" w:lineRule="auto"/>
        <w:ind w:firstLine="420" w:firstLineChars="200"/>
        <w:rPr>
          <w:rFonts w:ascii="宋体" w:hAnsi="宋体" w:cs="宋体"/>
        </w:rPr>
      </w:pPr>
      <w:r>
        <w:rPr>
          <w:rFonts w:hint="eastAsia" w:ascii="宋体" w:hAnsi="宋体" w:cs="宋体"/>
        </w:rPr>
        <w:t>(5)投标人被政府采购监管部门列入政府采购严重违法失信行为记录名单的。</w:t>
      </w:r>
    </w:p>
    <w:p>
      <w:pPr>
        <w:pStyle w:val="29"/>
        <w:ind w:firstLine="420"/>
        <w:rPr>
          <w:rFonts w:ascii="宋体" w:hAnsi="宋体" w:cs="宋体"/>
        </w:rPr>
      </w:pPr>
      <w:r>
        <w:rPr>
          <w:rFonts w:hint="eastAsia" w:ascii="宋体" w:hAnsi="宋体" w:cs="宋体"/>
        </w:rPr>
        <w:t>以上情形第（1）（3）（4）（5）条以“信用中国”或其他指定媒介[国家税务总局网站、中国政府采购网、最高人民法院网站、国家企业信用信息公示系统网站、中国裁判文书网。]发布的为准。由采购人代表或委托评标委员会在推荐中标候选人前对拟推荐的中标候选人进行查询并将查询结果截图反馈至评标委员会，</w:t>
      </w:r>
      <w:r>
        <w:rPr>
          <w:rFonts w:hint="eastAsia" w:ascii="宋体" w:hAnsi="宋体" w:cs="宋体"/>
          <w:b/>
          <w:bCs/>
        </w:rPr>
        <w:t>由评标委员会记录在评标报告中。</w:t>
      </w:r>
      <w:r>
        <w:rPr>
          <w:rFonts w:hint="eastAsia" w:ascii="宋体" w:hAnsi="宋体" w:cs="宋体"/>
        </w:rPr>
        <w:t>如在上述网站查询结果均显示没有相关记录，视为没有上述不良信用记录。如评标过程中因网络、网站的问题无法查询时，在中标公告期间由采购人代表查询并直接采用。</w:t>
      </w:r>
    </w:p>
    <w:p>
      <w:pPr>
        <w:pStyle w:val="23"/>
        <w:wordWrap w:val="0"/>
        <w:spacing w:line="360" w:lineRule="auto"/>
        <w:ind w:firstLine="422" w:firstLineChars="200"/>
        <w:jc w:val="both"/>
        <w:rPr>
          <w:b/>
          <w:bCs/>
          <w:kern w:val="2"/>
          <w:sz w:val="21"/>
        </w:rPr>
      </w:pPr>
      <w:r>
        <w:rPr>
          <w:rFonts w:hint="eastAsia"/>
          <w:b/>
          <w:bCs/>
          <w:kern w:val="2"/>
          <w:sz w:val="21"/>
        </w:rPr>
        <w:t>以上情形由投标人按投标函格式填写相关承诺。</w:t>
      </w:r>
    </w:p>
    <w:p>
      <w:pPr>
        <w:pStyle w:val="29"/>
        <w:spacing w:line="360" w:lineRule="exact"/>
        <w:ind w:firstLine="420"/>
        <w:rPr>
          <w:rFonts w:ascii="宋体" w:hAnsi="宋体" w:cs="宋体"/>
          <w:b/>
          <w:bCs/>
        </w:rPr>
      </w:pPr>
      <w:r>
        <w:rPr>
          <w:rFonts w:hint="eastAsia" w:ascii="宋体" w:hAnsi="宋体" w:cs="宋体"/>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pPr>
        <w:spacing w:line="360" w:lineRule="auto"/>
        <w:ind w:firstLine="420" w:firstLineChars="200"/>
        <w:rPr>
          <w:rFonts w:ascii="宋体" w:hAnsi="宋体" w:cs="宋体"/>
        </w:rPr>
      </w:pPr>
      <w:r>
        <w:rPr>
          <w:rFonts w:hint="eastAsia" w:ascii="宋体" w:hAnsi="宋体" w:cs="宋体"/>
        </w:rPr>
        <w:t>33、有效性审查</w:t>
      </w:r>
    </w:p>
    <w:p>
      <w:pPr>
        <w:spacing w:line="360" w:lineRule="auto"/>
        <w:ind w:firstLine="420" w:firstLineChars="200"/>
        <w:rPr>
          <w:rFonts w:ascii="宋体" w:hAnsi="宋体" w:cs="宋体"/>
        </w:rPr>
      </w:pPr>
      <w:r>
        <w:rPr>
          <w:rFonts w:hint="eastAsia" w:ascii="宋体" w:hAnsi="宋体" w:cs="宋体"/>
        </w:rPr>
        <w:t>若有一项不通过，作无效标处理。</w:t>
      </w:r>
    </w:p>
    <w:tbl>
      <w:tblPr>
        <w:tblStyle w:val="18"/>
        <w:tblW w:w="10146" w:type="dxa"/>
        <w:jc w:val="center"/>
        <w:tblLayout w:type="fixed"/>
        <w:tblCellMar>
          <w:top w:w="0" w:type="dxa"/>
          <w:left w:w="0" w:type="dxa"/>
          <w:bottom w:w="0" w:type="dxa"/>
          <w:right w:w="0" w:type="dxa"/>
        </w:tblCellMar>
      </w:tblPr>
      <w:tblGrid>
        <w:gridCol w:w="508"/>
        <w:gridCol w:w="1062"/>
        <w:gridCol w:w="3650"/>
        <w:gridCol w:w="2245"/>
        <w:gridCol w:w="2681"/>
      </w:tblGrid>
      <w:tr>
        <w:tblPrEx>
          <w:tblCellMar>
            <w:top w:w="0" w:type="dxa"/>
            <w:left w:w="0" w:type="dxa"/>
            <w:bottom w:w="0" w:type="dxa"/>
            <w:right w:w="0" w:type="dxa"/>
          </w:tblCellMar>
        </w:tblPrEx>
        <w:trPr>
          <w:trHeight w:val="723" w:hRule="exact"/>
          <w:jc w:val="center"/>
        </w:trPr>
        <w:tc>
          <w:tcPr>
            <w:tcW w:w="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 w:hAnsi="仿宋" w:eastAsia="仿宋" w:cs="仿宋"/>
              </w:rPr>
            </w:pPr>
            <w:r>
              <w:rPr>
                <w:rFonts w:hint="eastAsia" w:ascii="宋体" w:hAnsi="宋体" w:cs="宋体"/>
                <w:kern w:val="0"/>
                <w:sz w:val="18"/>
                <w:szCs w:val="18"/>
              </w:rPr>
              <w:t>序号</w:t>
            </w:r>
          </w:p>
        </w:tc>
        <w:tc>
          <w:tcPr>
            <w:tcW w:w="10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合格条件</w:t>
            </w:r>
          </w:p>
        </w:tc>
        <w:tc>
          <w:tcPr>
            <w:tcW w:w="36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投标资格合格条件标准</w:t>
            </w:r>
          </w:p>
        </w:tc>
        <w:tc>
          <w:tcPr>
            <w:tcW w:w="2245"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有效证明材料</w:t>
            </w:r>
          </w:p>
        </w:tc>
        <w:tc>
          <w:tcPr>
            <w:tcW w:w="268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定性的结论以及相关情况说明</w:t>
            </w:r>
          </w:p>
        </w:tc>
      </w:tr>
      <w:tr>
        <w:tblPrEx>
          <w:tblCellMar>
            <w:top w:w="0" w:type="dxa"/>
            <w:left w:w="0" w:type="dxa"/>
            <w:bottom w:w="0" w:type="dxa"/>
            <w:right w:w="0" w:type="dxa"/>
          </w:tblCellMar>
        </w:tblPrEx>
        <w:trPr>
          <w:trHeight w:val="693" w:hRule="exact"/>
          <w:jc w:val="center"/>
        </w:trPr>
        <w:tc>
          <w:tcPr>
            <w:tcW w:w="508" w:type="dxa"/>
            <w:vMerge w:val="restart"/>
            <w:tcBorders>
              <w:top w:val="single" w:color="000000" w:sz="4" w:space="0"/>
              <w:left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062" w:type="dxa"/>
            <w:vMerge w:val="restart"/>
            <w:tcBorders>
              <w:top w:val="single" w:color="000000" w:sz="4" w:space="0"/>
              <w:left w:val="single" w:color="000000" w:sz="4" w:space="0"/>
              <w:right w:val="single" w:color="000000" w:sz="4" w:space="0"/>
            </w:tcBorders>
            <w:vAlign w:val="center"/>
          </w:tcPr>
          <w:p>
            <w:pPr>
              <w:widowControl/>
              <w:ind w:left="53" w:leftChars="25" w:right="53" w:rightChars="25"/>
              <w:jc w:val="center"/>
              <w:rPr>
                <w:rFonts w:ascii="宋体" w:hAnsi="宋体" w:cs="宋体"/>
                <w:kern w:val="0"/>
                <w:sz w:val="18"/>
                <w:szCs w:val="18"/>
              </w:rPr>
            </w:pPr>
            <w:r>
              <w:rPr>
                <w:rFonts w:hint="eastAsia" w:ascii="宋体" w:hAnsi="宋体" w:cs="宋体"/>
                <w:kern w:val="0"/>
                <w:sz w:val="18"/>
                <w:szCs w:val="18"/>
              </w:rPr>
              <w:t>需要提供的磋商响应资格证明资料</w:t>
            </w:r>
          </w:p>
        </w:tc>
        <w:tc>
          <w:tcPr>
            <w:tcW w:w="3650" w:type="dxa"/>
            <w:tcBorders>
              <w:top w:val="single" w:color="000000" w:sz="4" w:space="0"/>
              <w:left w:val="single" w:color="000000" w:sz="4" w:space="0"/>
              <w:bottom w:val="single" w:color="000000"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满足《中华人民共和国政府采购法》第二十二条的全部要求</w:t>
            </w:r>
          </w:p>
        </w:tc>
        <w:tc>
          <w:tcPr>
            <w:tcW w:w="2245" w:type="dxa"/>
            <w:tcBorders>
              <w:top w:val="single" w:color="000000" w:sz="4" w:space="0"/>
              <w:left w:val="single" w:color="000000" w:sz="4" w:space="0"/>
              <w:bottom w:val="single" w:color="000000" w:sz="4" w:space="0"/>
              <w:right w:val="single" w:color="auto" w:sz="4" w:space="0"/>
            </w:tcBorders>
            <w:vAlign w:val="center"/>
          </w:tcPr>
          <w:p>
            <w:pPr>
              <w:widowControl/>
              <w:ind w:left="53" w:leftChars="25" w:right="53" w:rightChars="25"/>
              <w:jc w:val="center"/>
              <w:rPr>
                <w:rFonts w:ascii="宋体" w:hAnsi="宋体" w:cs="宋体"/>
                <w:kern w:val="0"/>
                <w:sz w:val="18"/>
                <w:szCs w:val="18"/>
              </w:rPr>
            </w:pPr>
            <w:r>
              <w:rPr>
                <w:rFonts w:hint="eastAsia" w:ascii="宋体" w:hAnsi="宋体" w:cs="宋体"/>
                <w:kern w:val="0"/>
                <w:sz w:val="18"/>
                <w:szCs w:val="18"/>
              </w:rPr>
              <w:t>执行磋商文件要求</w:t>
            </w:r>
          </w:p>
        </w:tc>
        <w:tc>
          <w:tcPr>
            <w:tcW w:w="2681" w:type="dxa"/>
            <w:tcBorders>
              <w:top w:val="single" w:color="000000" w:sz="4" w:space="0"/>
              <w:left w:val="single" w:color="auto" w:sz="4" w:space="0"/>
              <w:bottom w:val="single" w:color="000000"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按磋商响应函格式填写相关承诺</w:t>
            </w:r>
          </w:p>
        </w:tc>
      </w:tr>
      <w:tr>
        <w:tblPrEx>
          <w:tblCellMar>
            <w:top w:w="0" w:type="dxa"/>
            <w:left w:w="0" w:type="dxa"/>
            <w:bottom w:w="0" w:type="dxa"/>
            <w:right w:w="0" w:type="dxa"/>
          </w:tblCellMar>
        </w:tblPrEx>
        <w:trPr>
          <w:trHeight w:val="1077" w:hRule="atLeast"/>
          <w:jc w:val="center"/>
        </w:trPr>
        <w:tc>
          <w:tcPr>
            <w:tcW w:w="508"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c>
          <w:tcPr>
            <w:tcW w:w="1062" w:type="dxa"/>
            <w:vMerge w:val="continue"/>
            <w:tcBorders>
              <w:left w:val="single" w:color="000000" w:sz="4" w:space="0"/>
              <w:right w:val="single" w:color="000000" w:sz="4" w:space="0"/>
            </w:tcBorders>
            <w:vAlign w:val="center"/>
          </w:tcPr>
          <w:p>
            <w:pPr>
              <w:widowControl/>
              <w:ind w:left="53" w:leftChars="25" w:right="53" w:rightChars="25"/>
              <w:jc w:val="center"/>
              <w:rPr>
                <w:rFonts w:ascii="宋体" w:hAnsi="宋体" w:cs="宋体"/>
                <w:kern w:val="0"/>
                <w:sz w:val="18"/>
                <w:szCs w:val="18"/>
              </w:rPr>
            </w:pPr>
          </w:p>
        </w:tc>
        <w:tc>
          <w:tcPr>
            <w:tcW w:w="3650" w:type="dxa"/>
            <w:tcBorders>
              <w:top w:val="single" w:color="000000" w:sz="4" w:space="0"/>
              <w:left w:val="single" w:color="000000" w:sz="4" w:space="0"/>
              <w:bottom w:val="single" w:color="auto"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至投标截止日，供应商、法定代表人及拟派项目经理（项目负责人）近三年内均未被人民检察院列入行贿犯罪档案</w:t>
            </w:r>
          </w:p>
        </w:tc>
        <w:tc>
          <w:tcPr>
            <w:tcW w:w="2245" w:type="dxa"/>
            <w:tcBorders>
              <w:top w:val="single" w:color="000000" w:sz="4" w:space="0"/>
              <w:left w:val="single" w:color="000000" w:sz="4" w:space="0"/>
              <w:bottom w:val="single" w:color="auto" w:sz="4" w:space="0"/>
              <w:right w:val="single" w:color="auto" w:sz="4" w:space="0"/>
            </w:tcBorders>
            <w:vAlign w:val="center"/>
          </w:tcPr>
          <w:p>
            <w:pPr>
              <w:widowControl/>
              <w:ind w:left="53" w:leftChars="25" w:right="53" w:rightChars="25"/>
              <w:jc w:val="center"/>
              <w:rPr>
                <w:rFonts w:ascii="宋体" w:hAnsi="宋体" w:cs="宋体"/>
                <w:kern w:val="0"/>
                <w:sz w:val="18"/>
                <w:szCs w:val="18"/>
              </w:rPr>
            </w:pPr>
            <w:r>
              <w:rPr>
                <w:rFonts w:hint="eastAsia" w:ascii="宋体" w:hAnsi="宋体" w:cs="宋体"/>
                <w:kern w:val="0"/>
                <w:sz w:val="18"/>
                <w:szCs w:val="18"/>
              </w:rPr>
              <w:t>执行磋商文件要求</w:t>
            </w:r>
          </w:p>
        </w:tc>
        <w:tc>
          <w:tcPr>
            <w:tcW w:w="2681" w:type="dxa"/>
            <w:tcBorders>
              <w:top w:val="single" w:color="000000" w:sz="4" w:space="0"/>
              <w:left w:val="single" w:color="auto" w:sz="4" w:space="0"/>
              <w:bottom w:val="single" w:color="auto"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按磋商响应函格式填写相关承诺</w:t>
            </w:r>
          </w:p>
        </w:tc>
      </w:tr>
      <w:tr>
        <w:tblPrEx>
          <w:tblCellMar>
            <w:top w:w="0" w:type="dxa"/>
            <w:left w:w="0" w:type="dxa"/>
            <w:bottom w:w="0" w:type="dxa"/>
            <w:right w:w="0" w:type="dxa"/>
          </w:tblCellMar>
        </w:tblPrEx>
        <w:trPr>
          <w:trHeight w:val="1077" w:hRule="atLeast"/>
          <w:jc w:val="center"/>
        </w:trPr>
        <w:tc>
          <w:tcPr>
            <w:tcW w:w="508" w:type="dxa"/>
            <w:vMerge w:val="continue"/>
            <w:tcBorders>
              <w:left w:val="single" w:color="000000" w:sz="4" w:space="0"/>
              <w:bottom w:val="single" w:color="000000" w:sz="4" w:space="0"/>
              <w:right w:val="single" w:color="000000" w:sz="4" w:space="0"/>
            </w:tcBorders>
            <w:vAlign w:val="center"/>
          </w:tcPr>
          <w:p>
            <w:pPr>
              <w:widowControl/>
              <w:ind w:right="53" w:rightChars="25"/>
              <w:jc w:val="left"/>
            </w:pPr>
          </w:p>
        </w:tc>
        <w:tc>
          <w:tcPr>
            <w:tcW w:w="1062" w:type="dxa"/>
            <w:vMerge w:val="continue"/>
            <w:tcBorders>
              <w:left w:val="single" w:color="000000" w:sz="4" w:space="0"/>
              <w:bottom w:val="single" w:color="000000" w:sz="4" w:space="0"/>
              <w:right w:val="single" w:color="000000" w:sz="4" w:space="0"/>
            </w:tcBorders>
            <w:vAlign w:val="center"/>
          </w:tcPr>
          <w:p>
            <w:pPr>
              <w:widowControl/>
              <w:ind w:right="53" w:rightChars="25"/>
              <w:jc w:val="left"/>
            </w:pPr>
          </w:p>
        </w:tc>
        <w:tc>
          <w:tcPr>
            <w:tcW w:w="3650" w:type="dxa"/>
            <w:tcBorders>
              <w:top w:val="single" w:color="auto" w:sz="4" w:space="0"/>
              <w:left w:val="single" w:color="000000" w:sz="4" w:space="0"/>
              <w:bottom w:val="single" w:color="000000"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至投标截止日，我单位未被人民法院列入失信被执行人、未被工商行政管理部门列入企业经营异常名录、未被税务部门列入重大税收违法案件当事人名单、未被政府采购监管部门列入政府采购严重违法失信行为记录名单</w:t>
            </w:r>
          </w:p>
        </w:tc>
        <w:tc>
          <w:tcPr>
            <w:tcW w:w="2245" w:type="dxa"/>
            <w:tcBorders>
              <w:top w:val="single" w:color="auto" w:sz="4" w:space="0"/>
              <w:left w:val="single" w:color="000000" w:sz="4" w:space="0"/>
              <w:bottom w:val="single" w:color="000000" w:sz="4" w:space="0"/>
              <w:right w:val="single" w:color="auto" w:sz="4" w:space="0"/>
            </w:tcBorders>
            <w:vAlign w:val="center"/>
          </w:tcPr>
          <w:p>
            <w:pPr>
              <w:widowControl/>
              <w:ind w:left="53" w:leftChars="25" w:right="53" w:rightChars="25"/>
              <w:jc w:val="center"/>
              <w:rPr>
                <w:rFonts w:ascii="宋体" w:hAnsi="宋体" w:cs="宋体"/>
                <w:kern w:val="0"/>
                <w:sz w:val="18"/>
                <w:szCs w:val="18"/>
              </w:rPr>
            </w:pPr>
            <w:r>
              <w:rPr>
                <w:rFonts w:hint="eastAsia" w:ascii="宋体" w:hAnsi="宋体" w:cs="宋体"/>
                <w:kern w:val="0"/>
                <w:sz w:val="18"/>
                <w:szCs w:val="18"/>
              </w:rPr>
              <w:t>执行磋商文件要求</w:t>
            </w:r>
          </w:p>
        </w:tc>
        <w:tc>
          <w:tcPr>
            <w:tcW w:w="2681" w:type="dxa"/>
            <w:tcBorders>
              <w:top w:val="single" w:color="auto" w:sz="4" w:space="0"/>
              <w:left w:val="single" w:color="auto" w:sz="4" w:space="0"/>
              <w:bottom w:val="single" w:color="000000"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按磋商响应函格式填写相关承诺</w:t>
            </w:r>
          </w:p>
        </w:tc>
      </w:tr>
      <w:tr>
        <w:tblPrEx>
          <w:tblCellMar>
            <w:top w:w="0" w:type="dxa"/>
            <w:left w:w="0" w:type="dxa"/>
            <w:bottom w:w="0" w:type="dxa"/>
            <w:right w:w="0" w:type="dxa"/>
          </w:tblCellMar>
        </w:tblPrEx>
        <w:trPr>
          <w:trHeight w:val="1077" w:hRule="atLeast"/>
          <w:jc w:val="center"/>
        </w:trPr>
        <w:tc>
          <w:tcPr>
            <w:tcW w:w="508" w:type="dxa"/>
            <w:tcBorders>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062" w:type="dxa"/>
            <w:tcBorders>
              <w:left w:val="single" w:color="000000" w:sz="4" w:space="0"/>
              <w:bottom w:val="single" w:color="000000"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营业执照</w:t>
            </w:r>
          </w:p>
        </w:tc>
        <w:tc>
          <w:tcPr>
            <w:tcW w:w="3650" w:type="dxa"/>
            <w:tcBorders>
              <w:top w:val="single" w:color="auto" w:sz="4" w:space="0"/>
              <w:left w:val="single" w:color="000000" w:sz="4" w:space="0"/>
              <w:bottom w:val="single" w:color="000000"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提供有效的营业执照</w:t>
            </w:r>
          </w:p>
        </w:tc>
        <w:tc>
          <w:tcPr>
            <w:tcW w:w="2245" w:type="dxa"/>
            <w:tcBorders>
              <w:top w:val="single" w:color="auto" w:sz="4" w:space="0"/>
              <w:left w:val="single" w:color="000000" w:sz="4" w:space="0"/>
              <w:bottom w:val="single" w:color="000000" w:sz="4" w:space="0"/>
              <w:right w:val="single" w:color="auto" w:sz="4" w:space="0"/>
            </w:tcBorders>
            <w:vAlign w:val="center"/>
          </w:tcPr>
          <w:p>
            <w:pPr>
              <w:widowControl/>
              <w:ind w:left="53" w:leftChars="25" w:right="53" w:rightChars="25"/>
              <w:jc w:val="center"/>
              <w:rPr>
                <w:rFonts w:ascii="宋体" w:hAnsi="宋体" w:cs="宋体"/>
                <w:kern w:val="0"/>
                <w:sz w:val="18"/>
                <w:szCs w:val="18"/>
              </w:rPr>
            </w:pPr>
            <w:r>
              <w:rPr>
                <w:rFonts w:hint="eastAsia" w:ascii="宋体" w:hAnsi="宋体" w:cs="宋体"/>
                <w:kern w:val="0"/>
                <w:sz w:val="18"/>
                <w:szCs w:val="18"/>
              </w:rPr>
              <w:t>执行磋商文件要求</w:t>
            </w:r>
          </w:p>
        </w:tc>
        <w:tc>
          <w:tcPr>
            <w:tcW w:w="2681" w:type="dxa"/>
            <w:tcBorders>
              <w:top w:val="single" w:color="auto" w:sz="4" w:space="0"/>
              <w:left w:val="single" w:color="auto" w:sz="4" w:space="0"/>
              <w:bottom w:val="single" w:color="000000" w:sz="4" w:space="0"/>
              <w:right w:val="single" w:color="000000" w:sz="4" w:space="0"/>
            </w:tcBorders>
            <w:vAlign w:val="center"/>
          </w:tcPr>
          <w:p>
            <w:pPr>
              <w:widowControl/>
              <w:ind w:left="53" w:leftChars="25" w:right="53" w:rightChars="25"/>
              <w:jc w:val="left"/>
              <w:rPr>
                <w:rFonts w:ascii="宋体" w:hAnsi="宋体" w:cs="宋体"/>
                <w:kern w:val="0"/>
                <w:sz w:val="18"/>
                <w:szCs w:val="18"/>
              </w:rPr>
            </w:pPr>
            <w:r>
              <w:rPr>
                <w:rFonts w:hint="eastAsia" w:ascii="宋体" w:hAnsi="宋体" w:cs="宋体"/>
                <w:kern w:val="0"/>
                <w:sz w:val="18"/>
                <w:szCs w:val="18"/>
              </w:rPr>
              <w:t>扫描件（复印件或影印件）加盖公章装订在磋商响应文件内</w:t>
            </w:r>
          </w:p>
        </w:tc>
      </w:tr>
      <w:tr>
        <w:tblPrEx>
          <w:tblCellMar>
            <w:top w:w="0" w:type="dxa"/>
            <w:left w:w="0" w:type="dxa"/>
            <w:bottom w:w="0" w:type="dxa"/>
            <w:right w:w="0" w:type="dxa"/>
          </w:tblCellMar>
        </w:tblPrEx>
        <w:trPr>
          <w:trHeight w:val="2045" w:hRule="exact"/>
          <w:jc w:val="center"/>
        </w:trPr>
        <w:tc>
          <w:tcPr>
            <w:tcW w:w="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062" w:type="dxa"/>
            <w:tcBorders>
              <w:top w:val="single" w:color="000000" w:sz="4" w:space="0"/>
              <w:left w:val="single" w:color="000000" w:sz="4" w:space="0"/>
              <w:bottom w:val="single" w:color="000000" w:sz="4" w:space="0"/>
              <w:right w:val="single" w:color="000000" w:sz="4" w:space="0"/>
            </w:tcBorders>
            <w:vAlign w:val="center"/>
          </w:tcPr>
          <w:p>
            <w:pPr>
              <w:pStyle w:val="16"/>
              <w:kinsoku w:val="0"/>
              <w:overflowPunct w:val="0"/>
              <w:autoSpaceDE w:val="0"/>
              <w:autoSpaceDN w:val="0"/>
              <w:adjustRightInd w:val="0"/>
              <w:jc w:val="center"/>
              <w:rPr>
                <w:sz w:val="18"/>
                <w:szCs w:val="18"/>
              </w:rPr>
            </w:pPr>
            <w:r>
              <w:rPr>
                <w:rFonts w:hint="eastAsia"/>
                <w:sz w:val="18"/>
                <w:szCs w:val="18"/>
              </w:rPr>
              <w:t>授权委托书</w:t>
            </w:r>
          </w:p>
        </w:tc>
        <w:tc>
          <w:tcPr>
            <w:tcW w:w="3650" w:type="dxa"/>
            <w:tcBorders>
              <w:top w:val="single" w:color="000000" w:sz="4" w:space="0"/>
              <w:left w:val="single" w:color="000000" w:sz="4" w:space="0"/>
              <w:bottom w:val="single" w:color="000000" w:sz="4" w:space="0"/>
              <w:right w:val="single" w:color="000000" w:sz="4" w:space="0"/>
            </w:tcBorders>
            <w:vAlign w:val="center"/>
          </w:tcPr>
          <w:p>
            <w:pPr>
              <w:pStyle w:val="16"/>
              <w:kinsoku w:val="0"/>
              <w:overflowPunct w:val="0"/>
              <w:autoSpaceDE w:val="0"/>
              <w:autoSpaceDN w:val="0"/>
              <w:adjustRightInd w:val="0"/>
              <w:spacing w:line="274" w:lineRule="exact"/>
              <w:jc w:val="center"/>
              <w:rPr>
                <w:sz w:val="18"/>
                <w:szCs w:val="18"/>
              </w:rPr>
            </w:pPr>
            <w:r>
              <w:rPr>
                <w:rFonts w:hint="eastAsia"/>
                <w:sz w:val="18"/>
                <w:szCs w:val="18"/>
              </w:rPr>
              <w:t>供应商授权的委托代理人有合法、有效的委托书，委托书按相应要求签字或盖章。同时委托人符合文件相关要求。</w:t>
            </w:r>
          </w:p>
        </w:tc>
        <w:tc>
          <w:tcPr>
            <w:tcW w:w="2245" w:type="dxa"/>
            <w:tcBorders>
              <w:top w:val="single" w:color="000000" w:sz="4" w:space="0"/>
              <w:left w:val="single" w:color="000000" w:sz="4" w:space="0"/>
              <w:bottom w:val="single" w:color="000000" w:sz="4" w:space="0"/>
              <w:right w:val="single" w:color="auto" w:sz="4" w:space="0"/>
            </w:tcBorders>
            <w:vAlign w:val="center"/>
          </w:tcPr>
          <w:p>
            <w:pPr>
              <w:pStyle w:val="16"/>
              <w:wordWrap w:val="0"/>
              <w:autoSpaceDE w:val="0"/>
              <w:autoSpaceDN w:val="0"/>
              <w:rPr>
                <w:sz w:val="18"/>
                <w:szCs w:val="18"/>
              </w:rPr>
            </w:pPr>
            <w:r>
              <w:rPr>
                <w:rFonts w:hint="eastAsia"/>
                <w:sz w:val="18"/>
                <w:szCs w:val="18"/>
              </w:rPr>
              <w:t>提供授权委托书原件装订入磋商响应文件。（法定代表人参加磋商响应的无需磋商响应授权书，提供身份证明复印件或影印件）</w:t>
            </w:r>
          </w:p>
        </w:tc>
        <w:tc>
          <w:tcPr>
            <w:tcW w:w="2681" w:type="dxa"/>
            <w:tcBorders>
              <w:top w:val="single" w:color="000000" w:sz="4" w:space="0"/>
              <w:left w:val="single" w:color="auto" w:sz="4" w:space="0"/>
              <w:bottom w:val="single" w:color="000000" w:sz="4" w:space="0"/>
              <w:right w:val="single" w:color="000000" w:sz="4" w:space="0"/>
            </w:tcBorders>
            <w:vAlign w:val="center"/>
          </w:tcPr>
          <w:p>
            <w:pPr>
              <w:pStyle w:val="16"/>
              <w:wordWrap w:val="0"/>
              <w:autoSpaceDE w:val="0"/>
              <w:autoSpaceDN w:val="0"/>
              <w:jc w:val="center"/>
              <w:rPr>
                <w:sz w:val="18"/>
                <w:szCs w:val="18"/>
              </w:rPr>
            </w:pPr>
            <w:r>
              <w:rPr>
                <w:rFonts w:hint="eastAsia"/>
                <w:sz w:val="18"/>
                <w:szCs w:val="18"/>
              </w:rPr>
              <w:t>必须原件</w:t>
            </w:r>
          </w:p>
        </w:tc>
      </w:tr>
      <w:tr>
        <w:tblPrEx>
          <w:tblCellMar>
            <w:top w:w="0" w:type="dxa"/>
            <w:left w:w="0" w:type="dxa"/>
            <w:bottom w:w="0" w:type="dxa"/>
            <w:right w:w="0" w:type="dxa"/>
          </w:tblCellMar>
        </w:tblPrEx>
        <w:trPr>
          <w:trHeight w:val="2724" w:hRule="exact"/>
          <w:jc w:val="center"/>
        </w:trPr>
        <w:tc>
          <w:tcPr>
            <w:tcW w:w="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062" w:type="dxa"/>
            <w:tcBorders>
              <w:top w:val="single" w:color="000000" w:sz="4" w:space="0"/>
              <w:left w:val="single" w:color="000000" w:sz="4" w:space="0"/>
              <w:bottom w:val="single" w:color="000000" w:sz="4" w:space="0"/>
              <w:right w:val="single" w:color="000000" w:sz="4" w:space="0"/>
            </w:tcBorders>
          </w:tcPr>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r>
              <w:rPr>
                <w:rFonts w:hint="eastAsia" w:ascii="宋体" w:hAnsi="宋体" w:cs="宋体"/>
                <w:sz w:val="18"/>
                <w:szCs w:val="18"/>
              </w:rPr>
              <w:t>专门面向中小企业采购项目</w:t>
            </w:r>
          </w:p>
        </w:tc>
        <w:tc>
          <w:tcPr>
            <w:tcW w:w="3650" w:type="dxa"/>
            <w:tcBorders>
              <w:top w:val="single" w:color="000000" w:sz="4" w:space="0"/>
              <w:left w:val="single" w:color="000000" w:sz="4" w:space="0"/>
              <w:bottom w:val="single" w:color="000000" w:sz="4" w:space="0"/>
              <w:right w:val="single" w:color="000000" w:sz="4" w:space="0"/>
            </w:tcBorders>
          </w:tcPr>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left"/>
              <w:rPr>
                <w:rFonts w:ascii="宋体" w:hAnsi="宋体" w:cs="宋体"/>
                <w:sz w:val="18"/>
                <w:szCs w:val="18"/>
              </w:rPr>
            </w:pPr>
            <w:r>
              <w:rPr>
                <w:rFonts w:hint="eastAsia" w:ascii="宋体" w:hAnsi="宋体" w:cs="宋体"/>
                <w:sz w:val="18"/>
                <w:szCs w:val="18"/>
              </w:rPr>
              <w:t>供应商应为中小微企业、监狱企业或残疾人福利性单位</w:t>
            </w:r>
          </w:p>
        </w:tc>
        <w:tc>
          <w:tcPr>
            <w:tcW w:w="2245" w:type="dxa"/>
            <w:tcBorders>
              <w:top w:val="single" w:color="000000" w:sz="4" w:space="0"/>
              <w:left w:val="single" w:color="000000" w:sz="4" w:space="0"/>
              <w:bottom w:val="single" w:color="000000" w:sz="4" w:space="0"/>
              <w:right w:val="single" w:color="auto" w:sz="4" w:space="0"/>
            </w:tcBorders>
          </w:tcPr>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p>
          <w:p>
            <w:pPr>
              <w:pStyle w:val="16"/>
              <w:kinsoku w:val="0"/>
              <w:overflowPunct w:val="0"/>
              <w:autoSpaceDE w:val="0"/>
              <w:autoSpaceDN w:val="0"/>
              <w:adjustRightInd w:val="0"/>
              <w:jc w:val="center"/>
              <w:rPr>
                <w:rFonts w:ascii="宋体" w:hAnsi="宋体" w:cs="宋体"/>
                <w:sz w:val="18"/>
                <w:szCs w:val="18"/>
              </w:rPr>
            </w:pPr>
            <w:r>
              <w:rPr>
                <w:rFonts w:hint="eastAsia" w:ascii="宋体" w:hAnsi="宋体" w:cs="宋体"/>
                <w:sz w:val="18"/>
                <w:szCs w:val="18"/>
              </w:rPr>
              <w:t>执行磋商文件要求</w:t>
            </w:r>
          </w:p>
        </w:tc>
        <w:tc>
          <w:tcPr>
            <w:tcW w:w="2681" w:type="dxa"/>
            <w:tcBorders>
              <w:top w:val="single" w:color="000000" w:sz="4" w:space="0"/>
              <w:left w:val="single" w:color="auto" w:sz="4" w:space="0"/>
              <w:bottom w:val="single" w:color="000000" w:sz="4" w:space="0"/>
              <w:right w:val="single" w:color="000000" w:sz="4" w:space="0"/>
            </w:tcBorders>
            <w:vAlign w:val="center"/>
          </w:tcPr>
          <w:p>
            <w:pPr>
              <w:pStyle w:val="16"/>
              <w:wordWrap w:val="0"/>
              <w:autoSpaceDE w:val="0"/>
              <w:autoSpaceDN w:val="0"/>
              <w:adjustRightInd w:val="0"/>
              <w:jc w:val="center"/>
              <w:rPr>
                <w:rFonts w:ascii="宋体" w:hAnsi="宋体" w:cs="宋体"/>
                <w:sz w:val="18"/>
                <w:szCs w:val="18"/>
              </w:rPr>
            </w:pPr>
            <w:r>
              <w:rPr>
                <w:rFonts w:hint="eastAsia" w:ascii="宋体" w:hAnsi="宋体" w:cs="宋体"/>
                <w:sz w:val="18"/>
                <w:szCs w:val="18"/>
              </w:rPr>
              <w:t>1、供应商为中小微企业的，提供有效的《中小企业声明函》。</w:t>
            </w:r>
          </w:p>
          <w:p>
            <w:pPr>
              <w:pStyle w:val="16"/>
              <w:wordWrap w:val="0"/>
              <w:autoSpaceDE w:val="0"/>
              <w:autoSpaceDN w:val="0"/>
              <w:adjustRightInd w:val="0"/>
              <w:jc w:val="center"/>
              <w:rPr>
                <w:rFonts w:ascii="宋体" w:hAnsi="宋体" w:cs="宋体"/>
                <w:sz w:val="18"/>
                <w:szCs w:val="18"/>
              </w:rPr>
            </w:pPr>
            <w:r>
              <w:rPr>
                <w:rFonts w:hint="eastAsia" w:ascii="宋体" w:hAnsi="宋体" w:cs="宋体"/>
                <w:sz w:val="18"/>
                <w:szCs w:val="18"/>
              </w:rPr>
              <w:t>2、供应商为监狱企业的，提供由省级以上监狱管理局、戒毒管理局（含新疆生产建设兵团）出具的属于监狱企业的证明文件。</w:t>
            </w:r>
          </w:p>
          <w:p>
            <w:pPr>
              <w:pStyle w:val="16"/>
              <w:wordWrap w:val="0"/>
              <w:autoSpaceDE w:val="0"/>
              <w:autoSpaceDN w:val="0"/>
              <w:adjustRightInd w:val="0"/>
              <w:jc w:val="center"/>
              <w:rPr>
                <w:rFonts w:ascii="宋体" w:hAnsi="宋体" w:cs="宋体"/>
                <w:sz w:val="18"/>
                <w:szCs w:val="18"/>
              </w:rPr>
            </w:pPr>
            <w:r>
              <w:rPr>
                <w:rFonts w:hint="eastAsia" w:ascii="宋体" w:hAnsi="宋体" w:cs="宋体"/>
                <w:sz w:val="18"/>
                <w:szCs w:val="18"/>
              </w:rPr>
              <w:t>3、供应商为残疾人福利性单位的，提供《残疾人福利性单位声明函》。</w:t>
            </w:r>
          </w:p>
        </w:tc>
      </w:tr>
      <w:tr>
        <w:tblPrEx>
          <w:tblCellMar>
            <w:top w:w="0" w:type="dxa"/>
            <w:left w:w="0" w:type="dxa"/>
            <w:bottom w:w="0" w:type="dxa"/>
            <w:right w:w="0" w:type="dxa"/>
          </w:tblCellMar>
        </w:tblPrEx>
        <w:trPr>
          <w:trHeight w:val="1247" w:hRule="exact"/>
          <w:jc w:val="center"/>
        </w:trPr>
        <w:tc>
          <w:tcPr>
            <w:tcW w:w="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062" w:type="dxa"/>
            <w:tcBorders>
              <w:top w:val="single" w:color="000000" w:sz="4" w:space="0"/>
              <w:left w:val="single" w:color="000000" w:sz="4" w:space="0"/>
              <w:bottom w:val="single" w:color="000000" w:sz="4" w:space="0"/>
              <w:right w:val="single" w:color="000000" w:sz="4" w:space="0"/>
            </w:tcBorders>
            <w:vAlign w:val="center"/>
          </w:tcPr>
          <w:p>
            <w:pPr>
              <w:pStyle w:val="16"/>
              <w:kinsoku w:val="0"/>
              <w:overflowPunct w:val="0"/>
              <w:autoSpaceDE w:val="0"/>
              <w:autoSpaceDN w:val="0"/>
              <w:adjustRightInd w:val="0"/>
              <w:jc w:val="center"/>
              <w:rPr>
                <w:sz w:val="18"/>
                <w:szCs w:val="18"/>
              </w:rPr>
            </w:pPr>
            <w:r>
              <w:rPr>
                <w:rFonts w:hint="eastAsia"/>
                <w:sz w:val="18"/>
                <w:szCs w:val="18"/>
              </w:rPr>
              <w:t>标书规范性</w:t>
            </w:r>
          </w:p>
        </w:tc>
        <w:tc>
          <w:tcPr>
            <w:tcW w:w="3650" w:type="dxa"/>
            <w:tcBorders>
              <w:top w:val="single" w:color="000000" w:sz="4" w:space="0"/>
              <w:left w:val="single" w:color="000000" w:sz="4" w:space="0"/>
              <w:bottom w:val="single" w:color="000000" w:sz="4" w:space="0"/>
              <w:right w:val="single" w:color="000000" w:sz="4" w:space="0"/>
            </w:tcBorders>
            <w:vAlign w:val="center"/>
          </w:tcPr>
          <w:p>
            <w:pPr>
              <w:pStyle w:val="16"/>
              <w:wordWrap w:val="0"/>
              <w:autoSpaceDE w:val="0"/>
              <w:autoSpaceDN w:val="0"/>
              <w:adjustRightInd w:val="0"/>
              <w:rPr>
                <w:sz w:val="18"/>
                <w:szCs w:val="18"/>
              </w:rPr>
            </w:pPr>
            <w:r>
              <w:rPr>
                <w:rFonts w:hint="eastAsia"/>
                <w:sz w:val="18"/>
                <w:szCs w:val="18"/>
              </w:rPr>
              <w:t>（1）在磋商文件规定的投标时间截止前未有效提交磋商响应文件的；</w:t>
            </w:r>
          </w:p>
          <w:p>
            <w:pPr>
              <w:pStyle w:val="16"/>
              <w:wordWrap w:val="0"/>
              <w:autoSpaceDE w:val="0"/>
              <w:autoSpaceDN w:val="0"/>
              <w:adjustRightInd w:val="0"/>
              <w:rPr>
                <w:sz w:val="18"/>
                <w:szCs w:val="18"/>
              </w:rPr>
            </w:pPr>
            <w:r>
              <w:rPr>
                <w:rFonts w:hint="eastAsia"/>
                <w:sz w:val="18"/>
                <w:szCs w:val="18"/>
              </w:rPr>
              <w:t>（2）磋商响应文件符合磋商文件加密、标记、递交等的相应要求；</w:t>
            </w:r>
          </w:p>
        </w:tc>
        <w:tc>
          <w:tcPr>
            <w:tcW w:w="2245" w:type="dxa"/>
            <w:tcBorders>
              <w:top w:val="single" w:color="000000" w:sz="4" w:space="0"/>
              <w:left w:val="single" w:color="000000" w:sz="4" w:space="0"/>
              <w:bottom w:val="single" w:color="000000" w:sz="4" w:space="0"/>
              <w:right w:val="single" w:color="auto" w:sz="4" w:space="0"/>
            </w:tcBorders>
            <w:vAlign w:val="center"/>
          </w:tcPr>
          <w:p>
            <w:pPr>
              <w:pStyle w:val="16"/>
              <w:wordWrap w:val="0"/>
              <w:autoSpaceDE w:val="0"/>
              <w:autoSpaceDN w:val="0"/>
              <w:adjustRightInd w:val="0"/>
              <w:jc w:val="center"/>
              <w:rPr>
                <w:sz w:val="18"/>
                <w:szCs w:val="18"/>
              </w:rPr>
            </w:pPr>
            <w:r>
              <w:rPr>
                <w:rFonts w:hint="eastAsia"/>
                <w:sz w:val="18"/>
                <w:szCs w:val="18"/>
              </w:rPr>
              <w:t>执行</w:t>
            </w:r>
            <w:r>
              <w:rPr>
                <w:rFonts w:hint="eastAsia" w:ascii="宋体" w:hAnsi="宋体" w:cs="宋体"/>
                <w:kern w:val="0"/>
                <w:sz w:val="18"/>
                <w:szCs w:val="18"/>
              </w:rPr>
              <w:t>磋商文件</w:t>
            </w:r>
            <w:r>
              <w:rPr>
                <w:rFonts w:hint="eastAsia"/>
                <w:sz w:val="18"/>
                <w:szCs w:val="18"/>
              </w:rPr>
              <w:t>要求</w:t>
            </w:r>
          </w:p>
        </w:tc>
        <w:tc>
          <w:tcPr>
            <w:tcW w:w="2681" w:type="dxa"/>
            <w:tcBorders>
              <w:top w:val="single" w:color="000000" w:sz="4" w:space="0"/>
              <w:left w:val="single" w:color="auto" w:sz="4" w:space="0"/>
              <w:bottom w:val="single" w:color="000000" w:sz="4" w:space="0"/>
              <w:right w:val="single" w:color="000000" w:sz="4" w:space="0"/>
            </w:tcBorders>
            <w:vAlign w:val="center"/>
          </w:tcPr>
          <w:p>
            <w:pPr>
              <w:pStyle w:val="16"/>
              <w:wordWrap w:val="0"/>
              <w:autoSpaceDE w:val="0"/>
              <w:autoSpaceDN w:val="0"/>
              <w:adjustRightInd w:val="0"/>
              <w:jc w:val="center"/>
              <w:rPr>
                <w:rFonts w:ascii="宋体" w:hAnsi="宋体" w:cs="宋体"/>
                <w:sz w:val="18"/>
                <w:szCs w:val="18"/>
              </w:rPr>
            </w:pPr>
          </w:p>
        </w:tc>
      </w:tr>
      <w:tr>
        <w:tblPrEx>
          <w:tblCellMar>
            <w:top w:w="0" w:type="dxa"/>
            <w:left w:w="0" w:type="dxa"/>
            <w:bottom w:w="0" w:type="dxa"/>
            <w:right w:w="0" w:type="dxa"/>
          </w:tblCellMar>
        </w:tblPrEx>
        <w:trPr>
          <w:trHeight w:val="766" w:hRule="exact"/>
          <w:jc w:val="center"/>
        </w:trPr>
        <w:tc>
          <w:tcPr>
            <w:tcW w:w="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0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标书响应情况</w:t>
            </w:r>
          </w:p>
        </w:tc>
        <w:tc>
          <w:tcPr>
            <w:tcW w:w="3650" w:type="dxa"/>
            <w:tcBorders>
              <w:top w:val="single" w:color="000000" w:sz="4" w:space="0"/>
              <w:left w:val="single" w:color="000000" w:sz="4" w:space="0"/>
              <w:bottom w:val="single" w:color="000000" w:sz="4" w:space="0"/>
              <w:right w:val="single" w:color="000000" w:sz="4" w:space="0"/>
            </w:tcBorders>
            <w:vAlign w:val="center"/>
          </w:tcPr>
          <w:p>
            <w:pPr>
              <w:pStyle w:val="16"/>
              <w:wordWrap w:val="0"/>
              <w:autoSpaceDE w:val="0"/>
              <w:autoSpaceDN w:val="0"/>
              <w:adjustRightInd w:val="0"/>
              <w:jc w:val="center"/>
              <w:rPr>
                <w:sz w:val="18"/>
                <w:szCs w:val="18"/>
              </w:rPr>
            </w:pPr>
            <w:r>
              <w:rPr>
                <w:rFonts w:hint="eastAsia"/>
                <w:sz w:val="18"/>
                <w:szCs w:val="18"/>
              </w:rPr>
              <w:t>服务标准要求、服务期响应、售后服务体系与维保等内容满足竞争性磋商文件的实质性要求</w:t>
            </w:r>
          </w:p>
        </w:tc>
        <w:tc>
          <w:tcPr>
            <w:tcW w:w="2245"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sz w:val="18"/>
                <w:szCs w:val="18"/>
              </w:rPr>
              <w:t>执行</w:t>
            </w:r>
            <w:r>
              <w:rPr>
                <w:rFonts w:hint="eastAsia" w:ascii="宋体" w:hAnsi="宋体" w:cs="宋体"/>
                <w:kern w:val="0"/>
                <w:sz w:val="18"/>
                <w:szCs w:val="18"/>
              </w:rPr>
              <w:t>磋商文件</w:t>
            </w:r>
            <w:r>
              <w:rPr>
                <w:rFonts w:hint="eastAsia" w:ascii="宋体" w:hAnsi="宋体" w:cs="宋体"/>
                <w:sz w:val="18"/>
                <w:szCs w:val="18"/>
              </w:rPr>
              <w:t>要求</w:t>
            </w:r>
          </w:p>
        </w:tc>
        <w:tc>
          <w:tcPr>
            <w:tcW w:w="268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kern w:val="0"/>
                <w:sz w:val="18"/>
                <w:szCs w:val="18"/>
              </w:rPr>
            </w:pPr>
          </w:p>
        </w:tc>
      </w:tr>
    </w:tbl>
    <w:p>
      <w:pPr>
        <w:spacing w:line="360" w:lineRule="auto"/>
        <w:ind w:firstLine="420" w:firstLineChars="200"/>
        <w:rPr>
          <w:rFonts w:ascii="宋体" w:hAnsi="宋体" w:cs="宋体"/>
        </w:rPr>
      </w:pPr>
      <w:r>
        <w:rPr>
          <w:rFonts w:hint="eastAsia" w:ascii="宋体" w:hAnsi="宋体" w:cs="宋体"/>
        </w:rPr>
        <w:t>34、报价部分评审</w:t>
      </w:r>
    </w:p>
    <w:p>
      <w:pPr>
        <w:spacing w:line="360" w:lineRule="auto"/>
        <w:ind w:firstLine="420" w:firstLineChars="200"/>
        <w:rPr>
          <w:rFonts w:ascii="宋体" w:hAnsi="宋体" w:cs="宋体"/>
        </w:rPr>
      </w:pPr>
      <w:r>
        <w:rPr>
          <w:rFonts w:hint="eastAsia" w:ascii="宋体" w:hAnsi="宋体" w:cs="宋体"/>
        </w:rPr>
        <w:t>34.1如采用综合评分法的，应当在技术与商务部分评审结束后，评审其报价部分。</w:t>
      </w:r>
    </w:p>
    <w:p>
      <w:pPr>
        <w:spacing w:line="360" w:lineRule="auto"/>
        <w:ind w:firstLine="420" w:firstLineChars="200"/>
        <w:rPr>
          <w:rFonts w:ascii="宋体" w:hAnsi="宋体" w:cs="宋体"/>
        </w:rPr>
      </w:pPr>
      <w:r>
        <w:rPr>
          <w:rFonts w:hint="eastAsia" w:ascii="宋体" w:hAnsi="宋体" w:cs="宋体"/>
        </w:rPr>
        <w:t>34.2磋商小组将对进入报价部分评审的各供应商的报价部分有效性进行审查，经评审有效后，磋商小组将对报价部分进行校核，看其是否有计算或表达上的错误，修正错误的原则如下：</w:t>
      </w:r>
    </w:p>
    <w:p>
      <w:pPr>
        <w:spacing w:line="360" w:lineRule="auto"/>
        <w:ind w:firstLine="420" w:firstLineChars="200"/>
        <w:rPr>
          <w:rFonts w:ascii="宋体" w:hAnsi="宋体" w:cs="宋体"/>
        </w:rPr>
      </w:pPr>
      <w:r>
        <w:rPr>
          <w:rFonts w:hint="eastAsia" w:ascii="宋体" w:hAnsi="宋体" w:cs="宋体"/>
        </w:rPr>
        <w:t>34.2.1如果数字表示的金额和用文字表示的金额不一致时，应以文字表示的金额为准；</w:t>
      </w:r>
    </w:p>
    <w:p>
      <w:pPr>
        <w:spacing w:line="360" w:lineRule="auto"/>
        <w:ind w:firstLine="420" w:firstLineChars="200"/>
        <w:rPr>
          <w:rFonts w:ascii="宋体" w:hAnsi="宋体" w:cs="宋体"/>
        </w:rPr>
      </w:pPr>
      <w:r>
        <w:rPr>
          <w:rFonts w:hint="eastAsia" w:ascii="宋体" w:hAnsi="宋体" w:cs="宋体"/>
        </w:rPr>
        <w:t>34.2.2如果单价与数量的乘积和总价不一致，以单价为准；当单位小数点有明显的错误时，评委会将以总价为准，并修正其单价。</w:t>
      </w:r>
    </w:p>
    <w:p>
      <w:pPr>
        <w:spacing w:line="360" w:lineRule="auto"/>
        <w:ind w:firstLine="420" w:firstLineChars="200"/>
        <w:rPr>
          <w:rFonts w:ascii="宋体" w:hAnsi="宋体" w:cs="宋体"/>
        </w:rPr>
      </w:pPr>
      <w:r>
        <w:rPr>
          <w:rFonts w:hint="eastAsia" w:ascii="宋体" w:hAnsi="宋体" w:cs="宋体"/>
        </w:rPr>
        <w:t>34.2.3如果磋商响应报价同时出现上述1、2两种情况，按第2种修正原则调整或修正磋商响应文件的磋商响应报价。</w:t>
      </w:r>
    </w:p>
    <w:p>
      <w:pPr>
        <w:spacing w:line="360" w:lineRule="auto"/>
        <w:ind w:firstLine="420" w:firstLineChars="200"/>
        <w:rPr>
          <w:rFonts w:ascii="宋体" w:hAnsi="宋体" w:cs="宋体"/>
        </w:rPr>
      </w:pPr>
      <w:r>
        <w:rPr>
          <w:rFonts w:hint="eastAsia" w:ascii="宋体" w:hAnsi="宋体" w:cs="宋体"/>
        </w:rPr>
        <w:t>按上述修正错误的原则及方法调整或修正磋商响应文件的磋商响应报价，供应商同意后，调整后的磋商响应报价对供应商起约束作用。如果供应商不接受修正后的报价，则其磋商响应将被拒绝并且其磋商响应保证金也将被没收，并不影响评标工作。</w:t>
      </w:r>
    </w:p>
    <w:p>
      <w:pPr>
        <w:spacing w:line="360" w:lineRule="auto"/>
        <w:ind w:firstLine="420" w:firstLineChars="200"/>
        <w:rPr>
          <w:rFonts w:ascii="宋体" w:hAnsi="宋体" w:cs="宋体"/>
        </w:rPr>
      </w:pPr>
      <w:r>
        <w:rPr>
          <w:rFonts w:hint="eastAsia" w:ascii="宋体" w:hAnsi="宋体" w:cs="宋体"/>
        </w:rPr>
        <w:t>34.3磋商响应报价无效的几种情形：</w:t>
      </w:r>
    </w:p>
    <w:p>
      <w:pPr>
        <w:spacing w:line="360" w:lineRule="auto"/>
        <w:ind w:firstLine="420" w:firstLineChars="200"/>
        <w:rPr>
          <w:rFonts w:ascii="宋体" w:hAnsi="宋体" w:cs="宋体"/>
        </w:rPr>
      </w:pPr>
      <w:r>
        <w:rPr>
          <w:rFonts w:hint="eastAsia" w:ascii="宋体" w:hAnsi="宋体" w:cs="宋体"/>
        </w:rPr>
        <w:t>34.3.1磋商响应报价高于预算控制；</w:t>
      </w:r>
    </w:p>
    <w:p>
      <w:pPr>
        <w:spacing w:line="360" w:lineRule="auto"/>
        <w:ind w:firstLine="420" w:firstLineChars="200"/>
        <w:rPr>
          <w:rFonts w:ascii="宋体" w:hAnsi="宋体" w:cs="宋体"/>
        </w:rPr>
      </w:pPr>
      <w:r>
        <w:rPr>
          <w:rFonts w:hint="eastAsia" w:ascii="宋体" w:hAnsi="宋体" w:cs="宋体"/>
        </w:rPr>
        <w:t>34.3.2经磋商小组认定磋商响应单位</w:t>
      </w:r>
      <w:r>
        <w:rPr>
          <w:rFonts w:ascii="宋体" w:hAnsi="宋体" w:cs="宋体"/>
        </w:rPr>
        <w:t>的报价明显低于其他投标报价或者在设有标底时明显低于标底,使得其投标报价可能低于其个别成本的,应当要求该</w:t>
      </w:r>
      <w:r>
        <w:rPr>
          <w:rFonts w:hint="eastAsia" w:ascii="宋体" w:hAnsi="宋体" w:cs="宋体"/>
        </w:rPr>
        <w:t>磋商响应单位</w:t>
      </w:r>
      <w:r>
        <w:rPr>
          <w:rFonts w:ascii="宋体" w:hAnsi="宋体" w:cs="宋体"/>
        </w:rPr>
        <w:t>作出书面说明并提供相关证明材料,</w:t>
      </w:r>
      <w:r>
        <w:rPr>
          <w:rFonts w:hint="eastAsia" w:ascii="宋体" w:hAnsi="宋体" w:cs="宋体"/>
        </w:rPr>
        <w:t>磋商响应单位</w:t>
      </w:r>
      <w:r>
        <w:rPr>
          <w:rFonts w:ascii="宋体" w:hAnsi="宋体" w:cs="宋体"/>
        </w:rPr>
        <w:t>不能合理说明或者不能提供相关证明材料的,由</w:t>
      </w:r>
      <w:r>
        <w:rPr>
          <w:rFonts w:hint="eastAsia" w:ascii="宋体" w:hAnsi="宋体" w:cs="宋体"/>
        </w:rPr>
        <w:t>磋商小组</w:t>
      </w:r>
      <w:r>
        <w:rPr>
          <w:rFonts w:ascii="宋体" w:hAnsi="宋体" w:cs="宋体"/>
        </w:rPr>
        <w:t>认定该</w:t>
      </w:r>
      <w:r>
        <w:rPr>
          <w:rFonts w:hint="eastAsia" w:ascii="宋体" w:hAnsi="宋体" w:cs="宋体"/>
        </w:rPr>
        <w:t>磋商响应单位</w:t>
      </w:r>
      <w:r>
        <w:rPr>
          <w:rFonts w:ascii="宋体" w:hAnsi="宋体" w:cs="宋体"/>
        </w:rPr>
        <w:t>以低于成本报价竞标。</w:t>
      </w:r>
    </w:p>
    <w:p>
      <w:pPr>
        <w:spacing w:line="360" w:lineRule="auto"/>
        <w:ind w:firstLine="420" w:firstLineChars="200"/>
        <w:rPr>
          <w:rFonts w:ascii="宋体" w:hAnsi="宋体" w:cs="宋体"/>
        </w:rPr>
      </w:pPr>
      <w:r>
        <w:rPr>
          <w:rFonts w:hint="eastAsia" w:ascii="宋体" w:hAnsi="宋体" w:cs="宋体"/>
        </w:rPr>
        <w:t>34.3.3经磋商小组认定报价出现异常导致不能保证政府采购资金的使用效益的。</w:t>
      </w:r>
    </w:p>
    <w:p>
      <w:pPr>
        <w:spacing w:line="360" w:lineRule="auto"/>
        <w:ind w:firstLine="420" w:firstLineChars="200"/>
        <w:rPr>
          <w:rFonts w:ascii="宋体" w:hAnsi="宋体" w:cs="宋体"/>
        </w:rPr>
      </w:pPr>
      <w:r>
        <w:rPr>
          <w:rFonts w:hint="eastAsia" w:ascii="宋体" w:hAnsi="宋体" w:cs="宋体"/>
        </w:rPr>
        <w:t>34.3.4不符合法律法规及采购文件中其它合格性评审要求。</w:t>
      </w:r>
    </w:p>
    <w:p>
      <w:pPr>
        <w:spacing w:line="360" w:lineRule="auto"/>
        <w:ind w:firstLine="420" w:firstLineChars="200"/>
        <w:rPr>
          <w:rFonts w:ascii="宋体" w:hAnsi="宋体" w:cs="宋体"/>
        </w:rPr>
      </w:pPr>
      <w:r>
        <w:rPr>
          <w:rFonts w:hint="eastAsia" w:ascii="宋体" w:hAnsi="宋体" w:cs="宋体"/>
        </w:rPr>
        <w:t>34.4主要标的一览表的评审</w:t>
      </w:r>
    </w:p>
    <w:p>
      <w:pPr>
        <w:spacing w:line="360" w:lineRule="auto"/>
        <w:ind w:firstLine="420" w:firstLineChars="200"/>
        <w:rPr>
          <w:rFonts w:ascii="宋体" w:hAnsi="宋体" w:cs="宋体"/>
        </w:rPr>
      </w:pPr>
      <w:r>
        <w:rPr>
          <w:rFonts w:hint="eastAsia" w:ascii="宋体" w:hAnsi="宋体" w:cs="宋体"/>
        </w:rPr>
        <w:t>此表中主要标的由采购人列出，产品由供应商填写,将随中标结果公告一并发布，接受社会监督。无效的几种情形如下：</w:t>
      </w:r>
    </w:p>
    <w:p>
      <w:pPr>
        <w:spacing w:line="360" w:lineRule="auto"/>
        <w:ind w:firstLine="420" w:firstLineChars="200"/>
        <w:rPr>
          <w:rFonts w:ascii="宋体" w:hAnsi="宋体" w:cs="宋体"/>
        </w:rPr>
      </w:pPr>
      <w:r>
        <w:rPr>
          <w:rFonts w:hint="eastAsia" w:ascii="宋体" w:hAnsi="宋体" w:cs="宋体"/>
        </w:rPr>
        <w:t>34.4.1内容与技术规格响应表内容不一致的；</w:t>
      </w:r>
    </w:p>
    <w:p>
      <w:pPr>
        <w:spacing w:line="360" w:lineRule="auto"/>
        <w:ind w:firstLine="420" w:firstLineChars="200"/>
        <w:rPr>
          <w:rFonts w:ascii="宋体" w:hAnsi="宋体" w:cs="宋体"/>
        </w:rPr>
      </w:pPr>
      <w:r>
        <w:rPr>
          <w:rFonts w:hint="eastAsia" w:ascii="宋体" w:hAnsi="宋体" w:cs="宋体"/>
        </w:rPr>
        <w:t>34.4.2表中填写的标的项比采购人列出的主要标的缺少的；</w:t>
      </w:r>
    </w:p>
    <w:p>
      <w:pPr>
        <w:spacing w:line="360" w:lineRule="auto"/>
        <w:ind w:firstLine="420" w:firstLineChars="200"/>
        <w:rPr>
          <w:rFonts w:ascii="宋体" w:hAnsi="宋体" w:cs="宋体"/>
        </w:rPr>
      </w:pPr>
      <w:r>
        <w:rPr>
          <w:rFonts w:hint="eastAsia" w:ascii="宋体" w:hAnsi="宋体" w:cs="宋体"/>
        </w:rPr>
        <w:t>34.4.3其他未满足法律法规或磋商文件列明的必须满足的要求的。</w:t>
      </w:r>
    </w:p>
    <w:p>
      <w:pPr>
        <w:spacing w:line="360" w:lineRule="auto"/>
        <w:ind w:firstLine="420" w:firstLineChars="200"/>
        <w:rPr>
          <w:rFonts w:ascii="宋体" w:hAnsi="宋体" w:cs="宋体"/>
        </w:rPr>
      </w:pPr>
      <w:r>
        <w:rPr>
          <w:rFonts w:hint="eastAsia" w:ascii="宋体" w:hAnsi="宋体" w:cs="宋体"/>
        </w:rPr>
        <w:t>35.评标办法</w:t>
      </w:r>
    </w:p>
    <w:p>
      <w:pPr>
        <w:pStyle w:val="23"/>
        <w:adjustRightInd/>
        <w:spacing w:line="360" w:lineRule="auto"/>
        <w:jc w:val="both"/>
        <w:rPr>
          <w:rFonts w:cs="华文仿宋"/>
          <w:b/>
          <w:sz w:val="22"/>
          <w:szCs w:val="28"/>
        </w:rPr>
      </w:pPr>
      <w:r>
        <w:rPr>
          <w:rFonts w:hint="eastAsia" w:asciiTheme="minorEastAsia" w:hAnsiTheme="minorEastAsia" w:eastAsiaTheme="minorEastAsia" w:cstheme="minorEastAsia"/>
          <w:b/>
          <w:bCs/>
        </w:rPr>
        <w:t>评审标准(满分100分)</w:t>
      </w:r>
    </w:p>
    <w:tbl>
      <w:tblPr>
        <w:tblStyle w:val="19"/>
        <w:tblW w:w="8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6317"/>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01" w:type="dxa"/>
            <w:vAlign w:val="center"/>
          </w:tcPr>
          <w:p>
            <w:pPr>
              <w:pStyle w:val="24"/>
              <w:snapToGrid w:val="0"/>
              <w:spacing w:line="240" w:lineRule="exact"/>
              <w:jc w:val="center"/>
              <w:rPr>
                <w:b/>
              </w:rPr>
            </w:pPr>
            <w:r>
              <w:rPr>
                <w:b/>
                <w:spacing w:val="-20"/>
              </w:rPr>
              <w:t>评分</w:t>
            </w:r>
            <w:r>
              <w:rPr>
                <w:rFonts w:hint="eastAsia"/>
                <w:b/>
                <w:spacing w:val="-20"/>
              </w:rPr>
              <w:t>指标</w:t>
            </w:r>
          </w:p>
        </w:tc>
        <w:tc>
          <w:tcPr>
            <w:tcW w:w="6317" w:type="dxa"/>
            <w:vAlign w:val="center"/>
          </w:tcPr>
          <w:p>
            <w:pPr>
              <w:pStyle w:val="24"/>
              <w:snapToGrid w:val="0"/>
              <w:spacing w:line="240" w:lineRule="exact"/>
              <w:ind w:left="120"/>
              <w:jc w:val="center"/>
              <w:rPr>
                <w:b/>
              </w:rPr>
            </w:pPr>
            <w:r>
              <w:rPr>
                <w:rFonts w:hint="eastAsia"/>
                <w:b/>
                <w:spacing w:val="-20"/>
              </w:rPr>
              <w:t>指标</w:t>
            </w:r>
            <w:r>
              <w:rPr>
                <w:b/>
                <w:spacing w:val="-20"/>
              </w:rPr>
              <w:t>描述</w:t>
            </w:r>
          </w:p>
        </w:tc>
        <w:tc>
          <w:tcPr>
            <w:tcW w:w="1117" w:type="dxa"/>
            <w:vAlign w:val="center"/>
          </w:tcPr>
          <w:p>
            <w:pPr>
              <w:pStyle w:val="24"/>
              <w:snapToGrid w:val="0"/>
              <w:spacing w:line="240" w:lineRule="exact"/>
              <w:jc w:val="center"/>
              <w:rPr>
                <w:b/>
              </w:rPr>
            </w:pPr>
            <w:r>
              <w:rPr>
                <w:b/>
                <w:spacing w:val="-20"/>
              </w:rPr>
              <w:t>分值范</w:t>
            </w:r>
            <w:r>
              <w:rPr>
                <w:b/>
                <w:spacing w:val="-22"/>
              </w:rPr>
              <w:t>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3" w:hRule="atLeast"/>
          <w:jc w:val="center"/>
        </w:trPr>
        <w:tc>
          <w:tcPr>
            <w:tcW w:w="1201" w:type="dxa"/>
            <w:vAlign w:val="center"/>
          </w:tcPr>
          <w:p>
            <w:pPr>
              <w:pStyle w:val="23"/>
              <w:wordWrap w:val="0"/>
              <w:adjustRightInd/>
              <w:jc w:val="center"/>
              <w:rPr>
                <w:bCs/>
                <w:sz w:val="21"/>
                <w:szCs w:val="21"/>
              </w:rPr>
            </w:pPr>
            <w:r>
              <w:rPr>
                <w:rFonts w:hint="eastAsia"/>
                <w:bCs/>
                <w:sz w:val="21"/>
                <w:szCs w:val="21"/>
              </w:rPr>
              <w:t>服务方案</w:t>
            </w:r>
          </w:p>
        </w:tc>
        <w:tc>
          <w:tcPr>
            <w:tcW w:w="6317" w:type="dxa"/>
            <w:vAlign w:val="center"/>
          </w:tcPr>
          <w:p>
            <w:pPr>
              <w:pStyle w:val="23"/>
              <w:wordWrap w:val="0"/>
              <w:ind w:firstLine="420" w:firstLineChars="200"/>
              <w:jc w:val="both"/>
              <w:rPr>
                <w:bCs/>
                <w:sz w:val="21"/>
                <w:szCs w:val="21"/>
              </w:rPr>
            </w:pPr>
            <w:r>
              <w:rPr>
                <w:rFonts w:hint="eastAsia"/>
                <w:bCs/>
                <w:sz w:val="21"/>
                <w:szCs w:val="21"/>
              </w:rPr>
              <w:t>（1）磋商小组根据供应商自行现场勘踏及调研情况对本项目的服务重点、难点进行分析，提出的应对措施进行综合评审：</w:t>
            </w:r>
          </w:p>
          <w:p>
            <w:pPr>
              <w:pStyle w:val="23"/>
              <w:wordWrap w:val="0"/>
              <w:ind w:firstLine="420" w:firstLineChars="200"/>
              <w:jc w:val="both"/>
              <w:rPr>
                <w:bCs/>
                <w:sz w:val="21"/>
                <w:szCs w:val="21"/>
              </w:rPr>
            </w:pPr>
            <w:r>
              <w:rPr>
                <w:rFonts w:hint="eastAsia"/>
                <w:bCs/>
                <w:sz w:val="21"/>
                <w:szCs w:val="21"/>
              </w:rPr>
              <w:t>优秀的得8分；良好的得5分；一般的得3分；差的得1分；未提供的得0分。</w:t>
            </w:r>
          </w:p>
          <w:p>
            <w:pPr>
              <w:pStyle w:val="23"/>
              <w:wordWrap w:val="0"/>
              <w:ind w:firstLine="420" w:firstLineChars="200"/>
              <w:jc w:val="both"/>
              <w:rPr>
                <w:bCs/>
                <w:sz w:val="21"/>
                <w:szCs w:val="21"/>
              </w:rPr>
            </w:pPr>
            <w:r>
              <w:rPr>
                <w:rFonts w:hint="eastAsia"/>
                <w:bCs/>
                <w:sz w:val="21"/>
                <w:szCs w:val="21"/>
              </w:rPr>
              <w:t>（2）磋商小组根据供应商提供的工作进度计划合理性、可实施性进行综合评审：</w:t>
            </w:r>
          </w:p>
          <w:p>
            <w:pPr>
              <w:pStyle w:val="23"/>
              <w:wordWrap w:val="0"/>
              <w:ind w:firstLine="420" w:firstLineChars="200"/>
              <w:jc w:val="both"/>
              <w:rPr>
                <w:bCs/>
                <w:sz w:val="21"/>
                <w:szCs w:val="21"/>
              </w:rPr>
            </w:pPr>
            <w:r>
              <w:rPr>
                <w:rFonts w:hint="eastAsia"/>
                <w:bCs/>
                <w:sz w:val="21"/>
                <w:szCs w:val="21"/>
              </w:rPr>
              <w:t>优秀的得8分；良好的得5分；一般的得3分；差的得1分；未提供的得0分。</w:t>
            </w:r>
          </w:p>
          <w:p>
            <w:pPr>
              <w:pStyle w:val="23"/>
              <w:wordWrap w:val="0"/>
              <w:ind w:firstLine="420" w:firstLineChars="200"/>
              <w:jc w:val="both"/>
              <w:rPr>
                <w:bCs/>
                <w:sz w:val="21"/>
                <w:szCs w:val="21"/>
              </w:rPr>
            </w:pPr>
            <w:r>
              <w:rPr>
                <w:rFonts w:hint="eastAsia"/>
                <w:bCs/>
                <w:sz w:val="21"/>
                <w:szCs w:val="21"/>
              </w:rPr>
              <w:t>（3）磋商小组根据供应商提供的对本项目的采用技术方法的规范性、科学性、合理性及可行性进行综合比较评审：</w:t>
            </w:r>
          </w:p>
          <w:p>
            <w:pPr>
              <w:pStyle w:val="23"/>
              <w:wordWrap w:val="0"/>
              <w:ind w:firstLine="420" w:firstLineChars="200"/>
              <w:jc w:val="both"/>
              <w:rPr>
                <w:bCs/>
                <w:sz w:val="21"/>
                <w:szCs w:val="21"/>
              </w:rPr>
            </w:pPr>
            <w:r>
              <w:rPr>
                <w:rFonts w:hint="eastAsia"/>
                <w:bCs/>
                <w:sz w:val="21"/>
                <w:szCs w:val="21"/>
              </w:rPr>
              <w:t>优秀的得8分；良好的得5分；一般的得3分；差的得1分；未提供的得0分。</w:t>
            </w:r>
          </w:p>
          <w:p>
            <w:pPr>
              <w:pStyle w:val="23"/>
              <w:wordWrap w:val="0"/>
              <w:ind w:firstLine="420" w:firstLineChars="200"/>
              <w:jc w:val="both"/>
              <w:rPr>
                <w:bCs/>
                <w:sz w:val="21"/>
                <w:szCs w:val="21"/>
              </w:rPr>
            </w:pPr>
            <w:r>
              <w:rPr>
                <w:rFonts w:hint="eastAsia"/>
                <w:bCs/>
                <w:sz w:val="21"/>
                <w:szCs w:val="21"/>
              </w:rPr>
              <w:t>（4）磋商小组根据供应商提供的对本项目的分析内容的完整性、实用性进行综合比较评审：</w:t>
            </w:r>
          </w:p>
          <w:p>
            <w:pPr>
              <w:pStyle w:val="23"/>
              <w:wordWrap w:val="0"/>
              <w:ind w:firstLine="420" w:firstLineChars="200"/>
              <w:jc w:val="both"/>
              <w:rPr>
                <w:bCs/>
                <w:sz w:val="21"/>
                <w:szCs w:val="21"/>
              </w:rPr>
            </w:pPr>
            <w:r>
              <w:rPr>
                <w:rFonts w:hint="eastAsia"/>
                <w:bCs/>
                <w:sz w:val="21"/>
                <w:szCs w:val="21"/>
              </w:rPr>
              <w:t>优秀的得8分；良好的得5分；一般的得3分；差的得1分；未提供的得0分。</w:t>
            </w:r>
          </w:p>
          <w:p>
            <w:pPr>
              <w:pStyle w:val="23"/>
              <w:wordWrap w:val="0"/>
              <w:ind w:firstLine="420" w:firstLineChars="200"/>
              <w:jc w:val="both"/>
              <w:rPr>
                <w:bCs/>
                <w:sz w:val="21"/>
                <w:szCs w:val="21"/>
              </w:rPr>
            </w:pPr>
            <w:r>
              <w:rPr>
                <w:rFonts w:hint="eastAsia"/>
                <w:bCs/>
                <w:sz w:val="21"/>
                <w:szCs w:val="21"/>
              </w:rPr>
              <w:t>（5）运作方案和管理制度：对项目管理机构图、工作职能组织运行图，项目经理的管理职责、内部管理的职责分工、日常管理制度和考核办法等：</w:t>
            </w:r>
          </w:p>
          <w:p>
            <w:pPr>
              <w:pStyle w:val="23"/>
              <w:wordWrap w:val="0"/>
              <w:ind w:firstLine="420" w:firstLineChars="200"/>
              <w:jc w:val="both"/>
              <w:rPr>
                <w:bCs/>
                <w:sz w:val="21"/>
                <w:szCs w:val="21"/>
              </w:rPr>
            </w:pPr>
            <w:r>
              <w:rPr>
                <w:rFonts w:hint="eastAsia"/>
                <w:bCs/>
                <w:sz w:val="21"/>
                <w:szCs w:val="21"/>
              </w:rPr>
              <w:t>优秀的得8分；良好的得5分；一般的得3分；差的得1分；未提供的得0分。</w:t>
            </w:r>
          </w:p>
          <w:p>
            <w:pPr>
              <w:spacing w:line="276" w:lineRule="auto"/>
              <w:rPr>
                <w:bCs/>
              </w:rPr>
            </w:pPr>
            <w:r>
              <w:rPr>
                <w:rFonts w:hint="eastAsia"/>
                <w:bCs/>
              </w:rPr>
              <w:t>注：本项目分数以所有评标专家评分的平均值作为投标供应商的最终得分，且投标供应商的本项最终得分不予公布。</w:t>
            </w:r>
          </w:p>
        </w:tc>
        <w:tc>
          <w:tcPr>
            <w:tcW w:w="1117" w:type="dxa"/>
            <w:vAlign w:val="center"/>
          </w:tcPr>
          <w:p>
            <w:pPr>
              <w:pStyle w:val="23"/>
              <w:wordWrap w:val="0"/>
              <w:adjustRightInd/>
              <w:jc w:val="center"/>
              <w:rPr>
                <w:bCs/>
                <w:sz w:val="21"/>
                <w:szCs w:val="21"/>
              </w:rPr>
            </w:pPr>
            <w:r>
              <w:rPr>
                <w:rFonts w:hint="eastAsia"/>
                <w:bCs/>
                <w:sz w:val="21"/>
                <w:szCs w:val="21"/>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201" w:type="dxa"/>
            <w:vAlign w:val="center"/>
          </w:tcPr>
          <w:p>
            <w:pPr>
              <w:pStyle w:val="23"/>
              <w:wordWrap w:val="0"/>
              <w:adjustRightInd/>
              <w:jc w:val="center"/>
              <w:rPr>
                <w:bCs/>
                <w:sz w:val="21"/>
                <w:szCs w:val="21"/>
              </w:rPr>
            </w:pPr>
            <w:r>
              <w:rPr>
                <w:rFonts w:hint="eastAsia"/>
                <w:bCs/>
                <w:sz w:val="21"/>
                <w:szCs w:val="21"/>
              </w:rPr>
              <w:t>业绩</w:t>
            </w:r>
          </w:p>
        </w:tc>
        <w:tc>
          <w:tcPr>
            <w:tcW w:w="6317" w:type="dxa"/>
            <w:vAlign w:val="center"/>
          </w:tcPr>
          <w:p>
            <w:pPr>
              <w:spacing w:line="276" w:lineRule="auto"/>
              <w:rPr>
                <w:rFonts w:ascii="宋体" w:hAnsi="宋体"/>
                <w:kern w:val="1"/>
              </w:rPr>
            </w:pPr>
            <w:r>
              <w:rPr>
                <w:rFonts w:hint="eastAsia" w:ascii="宋体" w:hAnsi="宋体"/>
                <w:kern w:val="1"/>
              </w:rPr>
              <w:t>具有近三年（从投标截止之日起往前推算，以水主管部门批复文件时间为准）以来：</w:t>
            </w:r>
          </w:p>
          <w:p>
            <w:pPr>
              <w:spacing w:line="276" w:lineRule="auto"/>
              <w:rPr>
                <w:rFonts w:ascii="宋体" w:hAnsi="宋体"/>
                <w:kern w:val="1"/>
              </w:rPr>
            </w:pPr>
            <w:r>
              <w:rPr>
                <w:rFonts w:hint="eastAsia" w:ascii="宋体" w:hAnsi="宋体"/>
                <w:kern w:val="1"/>
              </w:rPr>
              <w:t>供应商承担过每有一项水土保持方案报告书编制业绩的得5分，满分20分。</w:t>
            </w:r>
          </w:p>
          <w:p>
            <w:pPr>
              <w:spacing w:line="276" w:lineRule="auto"/>
              <w:rPr>
                <w:rFonts w:ascii="宋体" w:hAnsi="宋体"/>
                <w:kern w:val="1"/>
              </w:rPr>
            </w:pPr>
            <w:r>
              <w:rPr>
                <w:rFonts w:hint="eastAsia" w:ascii="宋体" w:hAnsi="宋体"/>
                <w:b/>
                <w:bCs/>
                <w:kern w:val="1"/>
              </w:rPr>
              <w:t>注：业绩证明材料为水土保持方案报告书编制业绩合同及水行政主管部门的批复文件扫描件。业绩证明材料中必须明确表示出发包人和承包人的名称，如无法体现项目甲乙双方名称、服务内容等评审内容，须同时提供发包人证明予以明确说明。</w:t>
            </w:r>
          </w:p>
        </w:tc>
        <w:tc>
          <w:tcPr>
            <w:tcW w:w="1117" w:type="dxa"/>
            <w:vAlign w:val="center"/>
          </w:tcPr>
          <w:p>
            <w:pPr>
              <w:pStyle w:val="23"/>
              <w:wordWrap w:val="0"/>
              <w:adjustRightInd/>
              <w:jc w:val="center"/>
              <w:rPr>
                <w:bCs/>
                <w:sz w:val="21"/>
                <w:szCs w:val="21"/>
              </w:rPr>
            </w:pPr>
            <w:r>
              <w:rPr>
                <w:rFonts w:hint="eastAsia"/>
                <w:bCs/>
                <w:sz w:val="21"/>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01" w:type="dxa"/>
            <w:vAlign w:val="center"/>
          </w:tcPr>
          <w:p>
            <w:pPr>
              <w:pStyle w:val="23"/>
              <w:wordWrap w:val="0"/>
              <w:adjustRightInd/>
              <w:jc w:val="center"/>
              <w:rPr>
                <w:bCs/>
                <w:sz w:val="21"/>
                <w:szCs w:val="21"/>
              </w:rPr>
            </w:pPr>
            <w:r>
              <w:rPr>
                <w:rFonts w:hint="eastAsia"/>
                <w:bCs/>
                <w:sz w:val="21"/>
                <w:szCs w:val="21"/>
              </w:rPr>
              <w:t>项目组人员</w:t>
            </w:r>
          </w:p>
        </w:tc>
        <w:tc>
          <w:tcPr>
            <w:tcW w:w="6317" w:type="dxa"/>
            <w:vAlign w:val="center"/>
          </w:tcPr>
          <w:p>
            <w:pPr>
              <w:spacing w:line="276" w:lineRule="auto"/>
              <w:rPr>
                <w:rFonts w:ascii="宋体" w:hAnsi="宋体"/>
                <w:kern w:val="1"/>
              </w:rPr>
            </w:pPr>
            <w:r>
              <w:rPr>
                <w:rFonts w:hint="eastAsia" w:ascii="宋体" w:hAnsi="宋体"/>
                <w:kern w:val="1"/>
              </w:rPr>
              <w:t>1、项目负责人（限1人）具有水文或水利相关专业中级职称及以上得4分；没有不得分。</w:t>
            </w:r>
          </w:p>
          <w:p>
            <w:pPr>
              <w:spacing w:line="276" w:lineRule="auto"/>
              <w:rPr>
                <w:rFonts w:ascii="宋体" w:hAnsi="宋体"/>
                <w:kern w:val="1"/>
              </w:rPr>
            </w:pPr>
            <w:r>
              <w:rPr>
                <w:rFonts w:hint="eastAsia" w:ascii="宋体" w:hAnsi="宋体"/>
                <w:kern w:val="1"/>
              </w:rPr>
              <w:t>2、项目组成员搭配合理、专业齐全</w:t>
            </w:r>
          </w:p>
          <w:p>
            <w:pPr>
              <w:spacing w:line="276" w:lineRule="auto"/>
              <w:rPr>
                <w:rFonts w:ascii="宋体" w:hAnsi="宋体"/>
                <w:kern w:val="1"/>
              </w:rPr>
            </w:pPr>
            <w:r>
              <w:rPr>
                <w:rFonts w:hint="eastAsia" w:ascii="宋体" w:hAnsi="宋体"/>
                <w:kern w:val="1"/>
              </w:rPr>
              <w:t>项目组配备（除项目负责人外）具有“水土保持与荒漠化防治”专业本科毕业证书的专业人员，每有1人得2分，满分6分。</w:t>
            </w:r>
          </w:p>
          <w:p>
            <w:pPr>
              <w:spacing w:line="276" w:lineRule="auto"/>
              <w:rPr>
                <w:rFonts w:ascii="宋体" w:hAnsi="宋体"/>
                <w:kern w:val="1"/>
              </w:rPr>
            </w:pPr>
            <w:r>
              <w:rPr>
                <w:rFonts w:hint="eastAsia" w:ascii="宋体" w:hAnsi="宋体"/>
                <w:b/>
                <w:bCs/>
                <w:kern w:val="1"/>
              </w:rPr>
              <w:t>注：本栏评分指标以注册资格证书、职业（执业）证书、注册证书、职称证书、毕业证书为准。项目组人员需为本公司员工，提供社保证明文件。磋商响应文件中须提供相关证书扫描件或影印件。</w:t>
            </w:r>
          </w:p>
        </w:tc>
        <w:tc>
          <w:tcPr>
            <w:tcW w:w="1117" w:type="dxa"/>
            <w:vAlign w:val="center"/>
          </w:tcPr>
          <w:p>
            <w:pPr>
              <w:jc w:val="center"/>
              <w:rPr>
                <w:rFonts w:ascii="宋体" w:hAnsi="宋体"/>
                <w:b/>
                <w:sz w:val="24"/>
              </w:rPr>
            </w:pPr>
            <w:r>
              <w:rPr>
                <w:rFonts w:hint="eastAsia" w:ascii="宋体" w:hAnsi="宋体" w:cs="宋体"/>
                <w:bCs/>
                <w:kern w:val="0"/>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1201" w:type="dxa"/>
            <w:vAlign w:val="center"/>
          </w:tcPr>
          <w:p>
            <w:pPr>
              <w:pStyle w:val="23"/>
              <w:wordWrap w:val="0"/>
              <w:adjustRightInd/>
              <w:jc w:val="center"/>
              <w:rPr>
                <w:bCs/>
                <w:sz w:val="21"/>
                <w:szCs w:val="21"/>
              </w:rPr>
            </w:pPr>
            <w:r>
              <w:rPr>
                <w:rFonts w:hint="eastAsia"/>
                <w:bCs/>
                <w:sz w:val="21"/>
                <w:szCs w:val="21"/>
              </w:rPr>
              <w:t>售后服务承诺</w:t>
            </w:r>
          </w:p>
        </w:tc>
        <w:tc>
          <w:tcPr>
            <w:tcW w:w="6317" w:type="dxa"/>
            <w:vAlign w:val="center"/>
          </w:tcPr>
          <w:p>
            <w:pPr>
              <w:spacing w:line="276" w:lineRule="auto"/>
              <w:rPr>
                <w:rFonts w:ascii="宋体" w:hAnsi="宋体"/>
                <w:kern w:val="1"/>
              </w:rPr>
            </w:pPr>
            <w:r>
              <w:rPr>
                <w:rFonts w:hint="eastAsia" w:ascii="宋体" w:hAnsi="宋体"/>
                <w:kern w:val="1"/>
              </w:rPr>
              <w:t>有明确的专业负责人（责任人）、联系方式、投标人企业注册所在地在铜陵区域内注册或在铜陵区域内已注册分公司的且具有固定的办公场所，并承诺合同期内在1小时内响应，4小时内到达现场处理。</w:t>
            </w:r>
          </w:p>
          <w:p>
            <w:pPr>
              <w:spacing w:line="276" w:lineRule="auto"/>
              <w:rPr>
                <w:rFonts w:ascii="宋体" w:hAnsi="宋体"/>
                <w:b/>
                <w:bCs/>
                <w:kern w:val="1"/>
              </w:rPr>
            </w:pPr>
            <w:r>
              <w:rPr>
                <w:rFonts w:hint="eastAsia" w:ascii="宋体" w:hAnsi="宋体"/>
                <w:kern w:val="1"/>
              </w:rPr>
              <w:t>由供应商自拟格式进行承诺，全部满足得5分；每有一项不满足扣2分，扣完为止。</w:t>
            </w:r>
          </w:p>
        </w:tc>
        <w:tc>
          <w:tcPr>
            <w:tcW w:w="1117" w:type="dxa"/>
            <w:vAlign w:val="center"/>
          </w:tcPr>
          <w:p>
            <w:pPr>
              <w:jc w:val="center"/>
              <w:rPr>
                <w:rFonts w:ascii="宋体" w:hAnsi="宋体" w:cs="宋体"/>
                <w:bCs/>
                <w:kern w:val="0"/>
              </w:rPr>
            </w:pPr>
            <w:r>
              <w:rPr>
                <w:rFonts w:hint="eastAsia" w:ascii="宋体" w:hAnsi="宋体" w:cs="宋体"/>
                <w:bCs/>
                <w:kern w:val="0"/>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201" w:type="dxa"/>
            <w:vAlign w:val="center"/>
          </w:tcPr>
          <w:p>
            <w:pPr>
              <w:pStyle w:val="23"/>
              <w:wordWrap w:val="0"/>
              <w:adjustRightInd/>
              <w:jc w:val="center"/>
              <w:rPr>
                <w:bCs/>
                <w:sz w:val="21"/>
                <w:szCs w:val="21"/>
              </w:rPr>
            </w:pPr>
            <w:r>
              <w:rPr>
                <w:rFonts w:hint="eastAsia"/>
                <w:bCs/>
                <w:sz w:val="21"/>
                <w:szCs w:val="21"/>
              </w:rPr>
              <w:t>投标报价</w:t>
            </w:r>
          </w:p>
        </w:tc>
        <w:tc>
          <w:tcPr>
            <w:tcW w:w="6317" w:type="dxa"/>
            <w:vAlign w:val="center"/>
          </w:tcPr>
          <w:p>
            <w:pPr>
              <w:spacing w:line="276" w:lineRule="auto"/>
              <w:rPr>
                <w:rFonts w:ascii="宋体" w:hAnsi="宋体"/>
                <w:kern w:val="1"/>
              </w:rPr>
            </w:pPr>
            <w:r>
              <w:rPr>
                <w:rFonts w:hint="eastAsia" w:ascii="宋体" w:hAnsi="宋体"/>
                <w:kern w:val="1"/>
              </w:rPr>
              <w:t>供应商所报价高于控制价的，作无效标处理，不计入有效报价。按所有有效报价最低的投标报价为评标基准值。供应商商务标报价等于评标基准值的得25分；其他供应商的投标报价得分=(评标基准价／投标报价)×22（四舍五入，精确到小数点后两位）。注：计算保留2位小数。</w:t>
            </w:r>
          </w:p>
        </w:tc>
        <w:tc>
          <w:tcPr>
            <w:tcW w:w="1117" w:type="dxa"/>
            <w:vAlign w:val="center"/>
          </w:tcPr>
          <w:p>
            <w:pPr>
              <w:spacing w:line="276" w:lineRule="auto"/>
              <w:rPr>
                <w:rFonts w:ascii="宋体" w:hAnsi="宋体"/>
                <w:kern w:val="1"/>
              </w:rPr>
            </w:pPr>
            <w:r>
              <w:rPr>
                <w:rFonts w:hint="eastAsia" w:ascii="宋体" w:hAnsi="宋体" w:cs="宋体"/>
                <w:bCs/>
                <w:kern w:val="0"/>
              </w:rPr>
              <w:t>25分</w:t>
            </w:r>
          </w:p>
        </w:tc>
      </w:tr>
    </w:tbl>
    <w:p>
      <w:pPr>
        <w:pStyle w:val="23"/>
        <w:wordWrap w:val="0"/>
        <w:adjustRightInd/>
        <w:jc w:val="both"/>
        <w:rPr>
          <w:rFonts w:ascii="仿宋_GB2312" w:hAnsi="仿宋_GB2312" w:eastAsia="仿宋_GB2312" w:cs="仿宋_GB2312"/>
          <w:bCs/>
        </w:rPr>
      </w:pPr>
    </w:p>
    <w:p>
      <w:pPr>
        <w:pStyle w:val="23"/>
        <w:wordWrap w:val="0"/>
        <w:adjustRightInd/>
        <w:spacing w:line="360" w:lineRule="auto"/>
        <w:jc w:val="both"/>
        <w:rPr>
          <w:bCs/>
        </w:rPr>
      </w:pPr>
      <w:r>
        <w:rPr>
          <w:rFonts w:hint="eastAsia"/>
          <w:bCs/>
        </w:rPr>
        <w:t>注：①当供应商先前存在机构更名、迁址、合并、分立、重组等情况造成以上提供的资料单位名称与营业执照上的单位名称不一致时，必须提供当地工商行政管理部门的变更证明材料，否则投标响应不予评审；②上述评审内容中的资质、荣誉、业绩等内容仅限以投标供应商单位名称的法人（不含总公司或下属公司）所取得的资质、荣誉、业绩等内容为准；③各供应商的最终总得分=技术部分得分+商务部分得分+报价部分得分。</w:t>
      </w:r>
    </w:p>
    <w:p>
      <w:pPr>
        <w:spacing w:line="360" w:lineRule="auto"/>
        <w:ind w:firstLine="422" w:firstLineChars="200"/>
        <w:rPr>
          <w:rFonts w:ascii="宋体" w:hAnsi="宋体" w:cs="宋体"/>
          <w:b/>
          <w:bCs/>
        </w:rPr>
      </w:pPr>
      <w:r>
        <w:rPr>
          <w:rFonts w:hint="eastAsia" w:ascii="宋体" w:hAnsi="宋体" w:cs="宋体"/>
          <w:b/>
          <w:bCs/>
        </w:rPr>
        <w:t>十、合同的签订、履行及验收</w:t>
      </w:r>
    </w:p>
    <w:p>
      <w:pPr>
        <w:spacing w:line="360" w:lineRule="auto"/>
        <w:ind w:firstLine="420" w:firstLineChars="200"/>
        <w:rPr>
          <w:rFonts w:ascii="宋体" w:hAnsi="宋体" w:cs="宋体"/>
        </w:rPr>
      </w:pPr>
      <w:r>
        <w:rPr>
          <w:rFonts w:hint="eastAsia" w:ascii="宋体" w:hAnsi="宋体" w:cs="宋体"/>
        </w:rPr>
        <w:t>36、合同授予标准：本项目合同将授予成交供应商。</w:t>
      </w:r>
    </w:p>
    <w:p>
      <w:pPr>
        <w:spacing w:line="360" w:lineRule="auto"/>
        <w:ind w:firstLine="420" w:firstLineChars="200"/>
        <w:rPr>
          <w:rFonts w:ascii="宋体" w:hAnsi="宋体" w:cs="宋体"/>
        </w:rPr>
      </w:pPr>
      <w:r>
        <w:rPr>
          <w:rFonts w:hint="eastAsia" w:ascii="宋体" w:hAnsi="宋体" w:cs="宋体"/>
        </w:rPr>
        <w:t>37、采购人拒绝磋商响应的权力</w:t>
      </w:r>
    </w:p>
    <w:p>
      <w:pPr>
        <w:spacing w:line="360" w:lineRule="auto"/>
        <w:ind w:firstLine="420" w:firstLineChars="200"/>
        <w:rPr>
          <w:rFonts w:ascii="宋体" w:hAnsi="宋体" w:cs="宋体"/>
        </w:rPr>
      </w:pPr>
      <w:r>
        <w:rPr>
          <w:rFonts w:hint="eastAsia" w:ascii="宋体" w:hAnsi="宋体" w:cs="宋体"/>
        </w:rPr>
        <w:t>采购人不承诺将合同授予报价最低的供应商。采购人在发出成交通知书前，有权依据磋商小组的评标报告拒绝不合格的磋商响应。</w:t>
      </w:r>
    </w:p>
    <w:p>
      <w:pPr>
        <w:spacing w:line="360" w:lineRule="auto"/>
        <w:ind w:firstLine="420" w:firstLineChars="200"/>
        <w:rPr>
          <w:rFonts w:ascii="宋体" w:hAnsi="宋体" w:cs="宋体"/>
        </w:rPr>
      </w:pPr>
      <w:r>
        <w:rPr>
          <w:rFonts w:hint="eastAsia" w:ascii="宋体" w:hAnsi="宋体" w:cs="宋体"/>
        </w:rPr>
        <w:t>38、合同协议书的签订</w:t>
      </w:r>
    </w:p>
    <w:p>
      <w:pPr>
        <w:spacing w:line="360" w:lineRule="auto"/>
        <w:ind w:firstLine="420" w:firstLineChars="200"/>
        <w:rPr>
          <w:rFonts w:ascii="宋体" w:hAnsi="宋体" w:cs="宋体"/>
        </w:rPr>
      </w:pPr>
      <w:r>
        <w:rPr>
          <w:rFonts w:hint="eastAsia" w:ascii="宋体" w:hAnsi="宋体" w:cs="宋体"/>
        </w:rPr>
        <w:t>38.1成交供应商应在成交通知书发出之日起三十日内（具体时间、地点见成交通知书）与采购人签订合同。采购人应按照竞争性磋商文件和成交供应商的磋商响应文件与成交供应商签订采购合同，采购人不得向成交供应商提出任何不合理的要求，作为签订合同的条件，不得与成交供应商私下订立背离合同实质性内容的任何协议，所签订的合同不得对竞争性磋商文件和成交供应商磋商响应文件作实质性修改。</w:t>
      </w:r>
    </w:p>
    <w:p>
      <w:pPr>
        <w:spacing w:line="360" w:lineRule="auto"/>
        <w:ind w:firstLine="420" w:firstLineChars="200"/>
        <w:rPr>
          <w:rFonts w:ascii="宋体" w:hAnsi="宋体" w:cs="宋体"/>
        </w:rPr>
      </w:pPr>
      <w:r>
        <w:rPr>
          <w:rFonts w:hint="eastAsia" w:ascii="宋体" w:hAnsi="宋体" w:cs="宋体"/>
        </w:rPr>
        <w:t>38.2成交供应商如不按本竞争性磋商文件规定与采购人订立合同，则采购人将废除授标，有磋商响应担保的将不予退还，给采购人造成的损失超过磋商响应担保数额的，还应当对超过部分予以赔偿，同时依法承担相应法律责任。</w:t>
      </w:r>
    </w:p>
    <w:p>
      <w:pPr>
        <w:spacing w:line="360" w:lineRule="auto"/>
        <w:ind w:firstLine="420" w:firstLineChars="200"/>
        <w:rPr>
          <w:rFonts w:ascii="宋体" w:hAnsi="宋体" w:cs="宋体"/>
        </w:rPr>
      </w:pPr>
      <w:r>
        <w:rPr>
          <w:rFonts w:hint="eastAsia" w:ascii="宋体" w:hAnsi="宋体" w:cs="宋体"/>
        </w:rPr>
        <w:t>38.3成交供应商应当按照合同约定履行义务，完成成交项目，不得将成交项目转让（转包）给他人。</w:t>
      </w:r>
    </w:p>
    <w:p>
      <w:pPr>
        <w:spacing w:line="360" w:lineRule="auto"/>
        <w:ind w:firstLine="420" w:firstLineChars="200"/>
        <w:rPr>
          <w:rFonts w:ascii="宋体" w:hAnsi="宋体" w:cs="宋体"/>
        </w:rPr>
      </w:pPr>
      <w:r>
        <w:rPr>
          <w:rFonts w:hint="eastAsia" w:ascii="宋体" w:hAnsi="宋体" w:cs="宋体"/>
        </w:rPr>
        <w:t>38.4 采购双方必须严格按照竞争性磋商文件、磋商响应文件及有关承诺签订采购合同，不得擅自变更。合同的标的、价款、质量、履行期限、服务要求等主要条款应当与竞争性磋商文件和成交供应商的磋商响应文件的内容一致，采购人和成交供应商不得再行订立背离合同实质性内容的其他协议。对任何因双方擅自变更合同引起的问题代理机构概不负责，合同风险由双方自行承担。</w:t>
      </w:r>
    </w:p>
    <w:p>
      <w:pPr>
        <w:spacing w:line="360" w:lineRule="auto"/>
        <w:ind w:firstLine="420" w:firstLineChars="200"/>
        <w:rPr>
          <w:rFonts w:ascii="宋体" w:hAnsi="宋体" w:cs="宋体"/>
        </w:rPr>
      </w:pPr>
      <w:r>
        <w:rPr>
          <w:rFonts w:hint="eastAsia" w:ascii="宋体" w:hAnsi="宋体" w:cs="宋体"/>
        </w:rPr>
        <w:t>38.5采购人保留以书面形式要求对服务细则作适当调整的权利。</w:t>
      </w:r>
    </w:p>
    <w:p>
      <w:pPr>
        <w:spacing w:line="360" w:lineRule="auto"/>
        <w:ind w:firstLine="420" w:firstLineChars="200"/>
        <w:rPr>
          <w:rFonts w:ascii="宋体" w:hAnsi="宋体" w:cs="宋体"/>
        </w:rPr>
      </w:pPr>
      <w:r>
        <w:rPr>
          <w:rFonts w:hint="eastAsia" w:ascii="宋体" w:hAnsi="宋体" w:cs="宋体"/>
        </w:rPr>
        <w:t>39、履行合同</w:t>
      </w:r>
    </w:p>
    <w:p>
      <w:pPr>
        <w:spacing w:line="360" w:lineRule="auto"/>
        <w:ind w:firstLine="420" w:firstLineChars="200"/>
        <w:rPr>
          <w:rFonts w:ascii="宋体" w:hAnsi="宋体" w:cs="宋体"/>
        </w:rPr>
      </w:pPr>
      <w:r>
        <w:rPr>
          <w:rFonts w:hint="eastAsia" w:ascii="宋体" w:hAnsi="宋体" w:cs="宋体"/>
        </w:rPr>
        <w:t>39.1成交供应商与采购人签订合同后，合同双方应严格执行合同条款，履行合同规定的义务，保证合同的顺利完成。</w:t>
      </w:r>
    </w:p>
    <w:p>
      <w:pPr>
        <w:spacing w:line="360" w:lineRule="auto"/>
        <w:ind w:firstLine="420" w:firstLineChars="200"/>
        <w:rPr>
          <w:rFonts w:ascii="宋体" w:hAnsi="宋体" w:cs="宋体"/>
        </w:rPr>
      </w:pPr>
      <w:r>
        <w:rPr>
          <w:rFonts w:hint="eastAsia" w:ascii="宋体" w:hAnsi="宋体" w:cs="宋体"/>
        </w:rPr>
        <w:t>39.2在合同履行过程中，如发生合同纠纷，合同双方应按照《合同法》的有关规定进行处理。</w:t>
      </w:r>
    </w:p>
    <w:p>
      <w:pPr>
        <w:spacing w:line="360" w:lineRule="auto"/>
        <w:ind w:firstLine="420" w:firstLineChars="200"/>
        <w:rPr>
          <w:rFonts w:ascii="宋体" w:hAnsi="宋体" w:cs="宋体"/>
        </w:rPr>
      </w:pPr>
      <w:r>
        <w:rPr>
          <w:rFonts w:hint="eastAsia" w:ascii="宋体" w:hAnsi="宋体" w:cs="宋体"/>
        </w:rPr>
        <w:t>40、验收</w:t>
      </w:r>
    </w:p>
    <w:p>
      <w:pPr>
        <w:spacing w:line="360" w:lineRule="auto"/>
        <w:ind w:firstLine="420" w:firstLineChars="200"/>
        <w:rPr>
          <w:rFonts w:ascii="宋体" w:hAnsi="宋体" w:cs="宋体"/>
        </w:rPr>
      </w:pPr>
      <w:r>
        <w:rPr>
          <w:rFonts w:hint="eastAsia" w:ascii="宋体" w:hAnsi="宋体" w:cs="宋体"/>
        </w:rPr>
        <w:t>40.1采购人须建立日常考核制度。考核时应成立三人以上（由合同双方、专业人员等相关人员组成），依据考核方案进行考核。</w:t>
      </w:r>
    </w:p>
    <w:p>
      <w:pPr>
        <w:spacing w:line="360" w:lineRule="auto"/>
        <w:ind w:firstLine="420" w:firstLineChars="200"/>
        <w:rPr>
          <w:rFonts w:ascii="宋体" w:hAnsi="宋体" w:cs="宋体"/>
        </w:rPr>
      </w:pPr>
      <w:r>
        <w:rPr>
          <w:rFonts w:hint="eastAsia" w:ascii="宋体" w:hAnsi="宋体" w:cs="宋体"/>
        </w:rPr>
        <w:t>40.2采购人验收时，应成立三人以上（由合同双方、专业人员、纪检等相关人员组成）验收小组，明确责任，严格依照采购文件、成交通知书、政府采购合同及相关验收规范进行核对、验收，形成结论，并出具书面验收报告。</w:t>
      </w:r>
    </w:p>
    <w:p>
      <w:pPr>
        <w:spacing w:line="360" w:lineRule="auto"/>
        <w:ind w:firstLine="420" w:firstLineChars="200"/>
        <w:rPr>
          <w:rFonts w:ascii="宋体" w:hAnsi="宋体" w:cs="宋体"/>
        </w:rPr>
      </w:pPr>
      <w:r>
        <w:rPr>
          <w:rFonts w:hint="eastAsia" w:ascii="宋体" w:hAnsi="宋体" w:cs="宋体"/>
        </w:rPr>
        <w:t>40.3涉及安全等其他需要由行业主管部门进行验收的项目，必须邀请相关部门参与验收。</w:t>
      </w:r>
    </w:p>
    <w:p>
      <w:pPr>
        <w:pStyle w:val="23"/>
        <w:wordWrap w:val="0"/>
        <w:adjustRightInd/>
        <w:jc w:val="both"/>
        <w:rPr>
          <w:rFonts w:ascii="仿宋_GB2312" w:hAnsi="仿宋_GB2312" w:eastAsia="仿宋_GB2312" w:cs="仿宋_GB2312"/>
          <w:bCs/>
        </w:rPr>
        <w:sectPr>
          <w:headerReference r:id="rId4" w:type="first"/>
          <w:headerReference r:id="rId3" w:type="default"/>
          <w:footerReference r:id="rId5" w:type="default"/>
          <w:pgSz w:w="11906" w:h="16838"/>
          <w:pgMar w:top="1440" w:right="1800" w:bottom="1440" w:left="1800" w:header="851" w:footer="992" w:gutter="0"/>
          <w:cols w:space="720" w:num="1"/>
          <w:titlePg/>
          <w:docGrid w:type="lines" w:linePitch="312" w:charSpace="0"/>
        </w:sectPr>
      </w:pPr>
      <w:r>
        <w:rPr>
          <w:rFonts w:hint="eastAsia"/>
        </w:rPr>
        <w:t>40.4验收费用均由合同乙方（成交供应商）承担，采购文件中另有约定的除外。</w:t>
      </w:r>
    </w:p>
    <w:p>
      <w:pPr>
        <w:pStyle w:val="22"/>
        <w:rPr>
          <w:b/>
          <w:bCs/>
        </w:rPr>
      </w:pPr>
      <w:r>
        <w:rPr>
          <w:rFonts w:hint="eastAsia" w:cs="宋体"/>
          <w:b/>
          <w:bCs/>
        </w:rPr>
        <w:t>第二章、项目需求</w:t>
      </w:r>
    </w:p>
    <w:p>
      <w:pPr>
        <w:snapToGrid w:val="0"/>
        <w:spacing w:line="360" w:lineRule="auto"/>
        <w:jc w:val="center"/>
        <w:rPr>
          <w:rFonts w:ascii="宋体" w:hAnsi="宋体" w:cs="宋体"/>
          <w:sz w:val="24"/>
        </w:rPr>
      </w:pPr>
      <w:r>
        <w:rPr>
          <w:rFonts w:hint="eastAsia" w:ascii="宋体" w:hAnsi="宋体" w:cs="宋体"/>
          <w:sz w:val="24"/>
        </w:rPr>
        <w:t>（如本章内容与其他章节有冲突，以本章内容为准）</w:t>
      </w:r>
    </w:p>
    <w:p>
      <w:pPr>
        <w:spacing w:line="360" w:lineRule="auto"/>
        <w:ind w:firstLine="422" w:firstLineChars="200"/>
        <w:rPr>
          <w:rFonts w:ascii="宋体" w:hAnsi="宋体" w:cs="宋体"/>
          <w:b/>
          <w:bCs/>
        </w:rPr>
      </w:pPr>
      <w:r>
        <w:rPr>
          <w:rFonts w:hint="eastAsia" w:ascii="宋体" w:hAnsi="宋体" w:cs="宋体"/>
          <w:b/>
          <w:bCs/>
        </w:rPr>
        <w:t>一服务内容及要求</w:t>
      </w:r>
    </w:p>
    <w:p>
      <w:pPr>
        <w:spacing w:line="360" w:lineRule="auto"/>
        <w:ind w:firstLine="420" w:firstLineChars="200"/>
        <w:rPr>
          <w:rFonts w:ascii="宋体" w:hAnsi="宋体" w:cs="宋体"/>
        </w:rPr>
      </w:pPr>
      <w:r>
        <w:rPr>
          <w:rFonts w:hint="eastAsia" w:ascii="宋体" w:hAnsi="宋体" w:cs="宋体"/>
        </w:rPr>
        <w:t xml:space="preserve">1项目概况： </w:t>
      </w:r>
    </w:p>
    <w:p>
      <w:pPr>
        <w:pStyle w:val="28"/>
        <w:ind w:firstLine="0" w:firstLineChars="0"/>
        <w:jc w:val="center"/>
        <w:rPr>
          <w:rFonts w:ascii="宋体" w:hAnsi="宋体"/>
          <w:szCs w:val="24"/>
        </w:rPr>
      </w:pPr>
      <w:r>
        <w:rPr>
          <w:rFonts w:hint="eastAsia" w:ascii="宋体" w:hAnsi="宋体"/>
          <w:szCs w:val="24"/>
        </w:rPr>
        <w:t>铜陵市义安区梨桥水镇--</w:t>
      </w:r>
      <w:r>
        <w:rPr>
          <w:rFonts w:ascii="宋体" w:hAnsi="宋体"/>
          <w:szCs w:val="24"/>
        </w:rPr>
        <w:t>明塘艺术文化村水土保持方案报告书编制服务项目</w:t>
      </w:r>
    </w:p>
    <w:p>
      <w:pPr>
        <w:spacing w:line="360" w:lineRule="auto"/>
        <w:ind w:firstLine="420" w:firstLineChars="200"/>
        <w:rPr>
          <w:rFonts w:ascii="宋体" w:hAnsi="宋体" w:cs="宋体"/>
        </w:rPr>
      </w:pPr>
      <w:r>
        <w:rPr>
          <w:rFonts w:hint="eastAsia" w:ascii="宋体" w:hAnsi="宋体" w:cs="宋体"/>
        </w:rPr>
        <w:t>2项目要求：</w:t>
      </w:r>
    </w:p>
    <w:p>
      <w:pPr>
        <w:spacing w:line="360" w:lineRule="auto"/>
        <w:ind w:firstLine="420" w:firstLineChars="200"/>
        <w:rPr>
          <w:rFonts w:ascii="宋体" w:hAnsi="宋体" w:cs="宋体"/>
        </w:rPr>
      </w:pPr>
      <w:r>
        <w:rPr>
          <w:rFonts w:hint="eastAsia" w:ascii="宋体" w:hAnsi="宋体" w:cs="宋体"/>
        </w:rPr>
        <w:t>1）水土保持方案编制要求：</w:t>
      </w:r>
    </w:p>
    <w:p>
      <w:pPr>
        <w:spacing w:line="360" w:lineRule="auto"/>
        <w:ind w:firstLine="420" w:firstLineChars="200"/>
        <w:rPr>
          <w:rFonts w:hint="eastAsia" w:ascii="宋体" w:hAnsi="宋体" w:cs="宋体"/>
        </w:rPr>
      </w:pPr>
      <w:bookmarkStart w:id="6" w:name="_Toc357"/>
      <w:r>
        <w:rPr>
          <w:rFonts w:hint="eastAsia" w:ascii="宋体" w:hAnsi="宋体" w:cs="宋体"/>
        </w:rPr>
        <w:t>根据《安徽省实施&lt;中华人民共和国水土保持法&gt;办法》及铜陵市义安区相关要求，对区域内的生产建设项目，根据主体工程布局、施工扰动特点、建设时序、水土流失防治责任范围、项目区地形地貌类型、水土流失现状以及当地水土保持规划等主要因素，进行综合分拆并提</w:t>
      </w:r>
      <w:r>
        <w:rPr>
          <w:rFonts w:hint="eastAsia" w:ascii="宋体" w:hAnsi="宋体"/>
          <w:szCs w:val="21"/>
        </w:rPr>
        <w:t>出防治措施，为相关部门对建设项目的审批和水行政主管部门对建设</w:t>
      </w:r>
      <w:r>
        <w:rPr>
          <w:rFonts w:ascii="宋体" w:hAnsi="宋体"/>
          <w:szCs w:val="21"/>
        </w:rPr>
        <w:t>项目</w:t>
      </w:r>
      <w:r>
        <w:rPr>
          <w:rFonts w:hint="eastAsia" w:ascii="宋体" w:hAnsi="宋体"/>
          <w:szCs w:val="21"/>
        </w:rPr>
        <w:t>的水土流失防治监督提供依据。并对后续园区水土保持能够起到参考、借鉴的作用。</w:t>
      </w:r>
      <w:r>
        <w:rPr>
          <w:rFonts w:hint="eastAsia" w:ascii="宋体" w:hAnsi="宋体"/>
          <w:b/>
          <w:szCs w:val="21"/>
          <w:u w:val="single"/>
        </w:rPr>
        <w:t>水土保持方案等成果文件必须通</w:t>
      </w:r>
      <w:r>
        <w:rPr>
          <w:rFonts w:hint="eastAsia" w:ascii="宋体" w:hAnsi="宋体" w:cs="宋体"/>
        </w:rPr>
        <w:t>过市级专家论证及市级行政管理部门审批。</w:t>
      </w:r>
    </w:p>
    <w:p>
      <w:pPr>
        <w:spacing w:line="360" w:lineRule="auto"/>
        <w:ind w:firstLine="422" w:firstLineChars="200"/>
        <w:rPr>
          <w:rFonts w:ascii="宋体" w:hAnsi="宋体" w:cs="宋体"/>
          <w:b/>
          <w:bCs/>
        </w:rPr>
      </w:pPr>
      <w:bookmarkStart w:id="7" w:name="_Toc2065"/>
      <w:r>
        <w:rPr>
          <w:rFonts w:hint="eastAsia" w:ascii="宋体" w:hAnsi="宋体" w:cs="宋体"/>
          <w:b/>
          <w:bCs/>
        </w:rPr>
        <w:t>二技术资料及交付要求</w:t>
      </w:r>
      <w:bookmarkEnd w:id="7"/>
    </w:p>
    <w:p>
      <w:pPr>
        <w:spacing w:line="360" w:lineRule="auto"/>
        <w:ind w:right="42" w:firstLine="420" w:firstLineChars="200"/>
        <w:rPr>
          <w:rFonts w:ascii="宋体" w:hAnsi="宋体" w:cs="宋体"/>
          <w:szCs w:val="21"/>
        </w:rPr>
      </w:pPr>
      <w:r>
        <w:rPr>
          <w:rFonts w:hint="eastAsia" w:ascii="宋体" w:hAnsi="宋体" w:cs="宋体"/>
          <w:szCs w:val="21"/>
        </w:rPr>
        <w:t>1、质量要求：符合国家及行业规范标准</w:t>
      </w:r>
    </w:p>
    <w:p>
      <w:pPr>
        <w:spacing w:line="360" w:lineRule="auto"/>
        <w:ind w:right="42" w:firstLine="420" w:firstLineChars="200"/>
        <w:rPr>
          <w:rFonts w:ascii="宋体" w:hAnsi="宋体"/>
          <w:szCs w:val="21"/>
        </w:rPr>
      </w:pPr>
      <w:r>
        <w:rPr>
          <w:rFonts w:hint="eastAsia" w:ascii="宋体" w:hAnsi="宋体" w:cs="宋体"/>
          <w:szCs w:val="21"/>
        </w:rPr>
        <w:t>2、及时提供</w:t>
      </w:r>
      <w:r>
        <w:rPr>
          <w:rFonts w:hint="eastAsia" w:ascii="宋体" w:hAnsi="宋体"/>
          <w:szCs w:val="21"/>
        </w:rPr>
        <w:t>水土保持方案</w:t>
      </w:r>
      <w:r>
        <w:rPr>
          <w:rFonts w:hint="eastAsia" w:ascii="宋体" w:hAnsi="宋体" w:cs="宋体"/>
          <w:szCs w:val="21"/>
        </w:rPr>
        <w:t>工作资料清单；</w:t>
      </w:r>
    </w:p>
    <w:p>
      <w:pPr>
        <w:spacing w:line="360" w:lineRule="auto"/>
        <w:ind w:left="479" w:leftChars="228" w:right="42"/>
        <w:rPr>
          <w:rFonts w:ascii="宋体" w:hAnsi="宋体" w:cs="宋体"/>
          <w:szCs w:val="21"/>
        </w:rPr>
      </w:pPr>
      <w:r>
        <w:rPr>
          <w:rFonts w:hint="eastAsia" w:ascii="宋体" w:hAnsi="宋体" w:cs="宋体"/>
          <w:szCs w:val="21"/>
        </w:rPr>
        <w:t>3、根据项目审查管理部门及业主方要求，及时提交</w:t>
      </w:r>
      <w:r>
        <w:rPr>
          <w:rFonts w:hint="eastAsia" w:ascii="宋体" w:hAnsi="宋体"/>
          <w:szCs w:val="21"/>
        </w:rPr>
        <w:t>水土保持方案</w:t>
      </w:r>
      <w:r>
        <w:rPr>
          <w:rFonts w:hint="eastAsia" w:ascii="宋体" w:hAnsi="宋体" w:cs="宋体"/>
          <w:szCs w:val="21"/>
        </w:rPr>
        <w:t>（审查稿）5、合同签订后10日历天内提交本项目的所有报告。</w:t>
      </w:r>
    </w:p>
    <w:p>
      <w:pPr>
        <w:spacing w:line="360" w:lineRule="auto"/>
        <w:ind w:left="479" w:leftChars="228" w:right="42"/>
        <w:rPr>
          <w:rFonts w:hint="eastAsia" w:ascii="宋体" w:hAnsi="宋体" w:cs="宋体"/>
          <w:szCs w:val="21"/>
        </w:rPr>
      </w:pPr>
      <w:r>
        <w:rPr>
          <w:rFonts w:hint="eastAsia" w:ascii="宋体" w:hAnsi="宋体" w:cs="宋体"/>
          <w:szCs w:val="21"/>
        </w:rPr>
        <w:t>4、提交最终成果报告伍份（含电子文件）</w:t>
      </w:r>
    </w:p>
    <w:p>
      <w:pPr>
        <w:spacing w:line="360" w:lineRule="auto"/>
        <w:ind w:left="479" w:leftChars="228" w:right="42"/>
        <w:rPr>
          <w:rFonts w:hint="eastAsia" w:ascii="宋体" w:hAnsi="宋体" w:cs="宋体"/>
          <w:szCs w:val="21"/>
        </w:rPr>
      </w:pPr>
      <w:bookmarkStart w:id="8" w:name="_Toc528852307"/>
      <w:r>
        <w:rPr>
          <w:rFonts w:hint="eastAsia" w:ascii="宋体" w:hAnsi="宋体" w:cs="宋体"/>
          <w:szCs w:val="21"/>
        </w:rPr>
        <w:t>三　付款方式及要求</w:t>
      </w:r>
      <w:bookmarkEnd w:id="6"/>
      <w:bookmarkEnd w:id="8"/>
    </w:p>
    <w:p>
      <w:pPr>
        <w:spacing w:line="360" w:lineRule="auto"/>
        <w:ind w:left="479" w:leftChars="228" w:right="42"/>
        <w:rPr>
          <w:rFonts w:hint="eastAsia" w:ascii="宋体" w:hAnsi="宋体" w:cs="宋体"/>
          <w:szCs w:val="21"/>
        </w:rPr>
      </w:pPr>
      <w:r>
        <w:rPr>
          <w:rFonts w:hint="eastAsia" w:ascii="宋体" w:hAnsi="宋体" w:cs="宋体"/>
          <w:szCs w:val="21"/>
        </w:rPr>
        <w:t>1、付款方式：合同签订后，中标人在规定时间内完成水土保持方案报告书编制并取得批复文件后30日历天内一次性支付至合同总价的100%。</w:t>
      </w:r>
    </w:p>
    <w:p>
      <w:pPr>
        <w:spacing w:line="360" w:lineRule="auto"/>
        <w:ind w:left="479" w:leftChars="228" w:right="42"/>
        <w:rPr>
          <w:rFonts w:hint="eastAsia" w:ascii="宋体" w:hAnsi="宋体" w:cs="宋体"/>
          <w:szCs w:val="21"/>
        </w:rPr>
      </w:pPr>
      <w:r>
        <w:rPr>
          <w:rFonts w:hint="eastAsia" w:ascii="宋体" w:hAnsi="宋体" w:cs="宋体"/>
          <w:szCs w:val="21"/>
        </w:rPr>
        <w:t>2、项目服务期：10日历天</w:t>
      </w:r>
    </w:p>
    <w:p>
      <w:pPr>
        <w:spacing w:line="360" w:lineRule="auto"/>
        <w:ind w:left="479" w:leftChars="228" w:right="42"/>
        <w:rPr>
          <w:rFonts w:hint="eastAsia" w:ascii="宋体" w:hAnsi="宋体" w:cs="宋体"/>
          <w:szCs w:val="21"/>
        </w:rPr>
        <w:sectPr>
          <w:pgSz w:w="11906" w:h="16838"/>
          <w:pgMar w:top="1440" w:right="1800" w:bottom="1440" w:left="1800" w:header="851" w:footer="992" w:gutter="0"/>
          <w:cols w:space="720" w:num="1"/>
          <w:titlePg/>
          <w:docGrid w:type="lines" w:linePitch="312" w:charSpace="0"/>
        </w:sectPr>
      </w:pPr>
    </w:p>
    <w:p>
      <w:pPr>
        <w:pStyle w:val="23"/>
        <w:wordWrap w:val="0"/>
        <w:adjustRightInd/>
        <w:ind w:firstLine="2168" w:firstLineChars="300"/>
        <w:jc w:val="both"/>
        <w:rPr>
          <w:rFonts w:asciiTheme="minorEastAsia" w:hAnsiTheme="minorEastAsia" w:eastAsiaTheme="minorEastAsia" w:cstheme="minorEastAsia"/>
          <w:b/>
          <w:bCs/>
          <w:sz w:val="72"/>
          <w:szCs w:val="72"/>
        </w:rPr>
      </w:pPr>
    </w:p>
    <w:p>
      <w:pPr>
        <w:pStyle w:val="25"/>
        <w:wordWrap w:val="0"/>
        <w:spacing w:line="360" w:lineRule="auto"/>
        <w:ind w:firstLine="0" w:firstLineChars="0"/>
        <w:jc w:val="center"/>
        <w:rPr>
          <w:b w:val="0"/>
        </w:rPr>
      </w:pPr>
      <w:r>
        <w:rPr>
          <w:rFonts w:hint="eastAsia"/>
          <w:b w:val="0"/>
        </w:rPr>
        <w:t>第三章、磋商相应文件格式</w:t>
      </w:r>
    </w:p>
    <w:p>
      <w:pPr>
        <w:pStyle w:val="25"/>
        <w:wordWrap w:val="0"/>
        <w:spacing w:line="360" w:lineRule="auto"/>
        <w:ind w:firstLine="0" w:firstLineChars="0"/>
        <w:jc w:val="center"/>
      </w:pPr>
      <w:r>
        <w:rPr>
          <w:rFonts w:hint="eastAsia"/>
        </w:rPr>
        <w:t>磋商响应文件</w:t>
      </w:r>
    </w:p>
    <w:p>
      <w:pPr>
        <w:wordWrap w:val="0"/>
        <w:spacing w:line="360" w:lineRule="auto"/>
        <w:rPr>
          <w:rFonts w:ascii="宋体" w:hAnsi="宋体" w:cs="华文仿宋"/>
          <w:b/>
          <w:sz w:val="28"/>
          <w:szCs w:val="28"/>
        </w:rPr>
      </w:pPr>
    </w:p>
    <w:p>
      <w:pPr>
        <w:pStyle w:val="4"/>
      </w:pPr>
    </w:p>
    <w:p>
      <w:pPr>
        <w:wordWrap w:val="0"/>
        <w:spacing w:line="360" w:lineRule="auto"/>
        <w:rPr>
          <w:rFonts w:ascii="宋体" w:hAnsi="宋体" w:cs="华文仿宋"/>
          <w:sz w:val="28"/>
          <w:szCs w:val="28"/>
        </w:rPr>
      </w:pPr>
    </w:p>
    <w:p>
      <w:pPr>
        <w:wordWrap w:val="0"/>
        <w:spacing w:line="360" w:lineRule="auto"/>
        <w:ind w:firstLine="560" w:firstLineChars="200"/>
        <w:rPr>
          <w:rFonts w:ascii="宋体" w:hAnsi="宋体" w:cs="华文仿宋"/>
          <w:sz w:val="28"/>
          <w:szCs w:val="28"/>
        </w:rPr>
      </w:pPr>
      <w:r>
        <w:rPr>
          <w:rFonts w:hint="eastAsia" w:ascii="宋体" w:hAnsi="宋体" w:cs="华文仿宋"/>
          <w:sz w:val="28"/>
          <w:szCs w:val="28"/>
        </w:rPr>
        <w:t>项目编号：</w:t>
      </w:r>
    </w:p>
    <w:p>
      <w:pPr>
        <w:wordWrap w:val="0"/>
        <w:spacing w:line="360" w:lineRule="auto"/>
        <w:ind w:firstLine="560" w:firstLineChars="200"/>
        <w:rPr>
          <w:rFonts w:ascii="宋体" w:hAnsi="宋体" w:cs="华文仿宋"/>
          <w:sz w:val="28"/>
          <w:szCs w:val="28"/>
          <w:u w:val="single"/>
        </w:rPr>
      </w:pPr>
      <w:r>
        <w:rPr>
          <w:rFonts w:hint="eastAsia" w:ascii="宋体" w:hAnsi="宋体" w:cs="华文仿宋"/>
          <w:sz w:val="28"/>
          <w:szCs w:val="28"/>
        </w:rPr>
        <w:t>项目名称：</w:t>
      </w:r>
    </w:p>
    <w:p>
      <w:pPr>
        <w:wordWrap w:val="0"/>
        <w:spacing w:line="360" w:lineRule="auto"/>
        <w:rPr>
          <w:rFonts w:ascii="宋体" w:hAnsi="宋体" w:cs="华文仿宋"/>
          <w:sz w:val="28"/>
          <w:szCs w:val="28"/>
        </w:rPr>
      </w:pPr>
    </w:p>
    <w:p>
      <w:pPr>
        <w:wordWrap w:val="0"/>
        <w:spacing w:line="360" w:lineRule="auto"/>
        <w:rPr>
          <w:rFonts w:ascii="宋体" w:hAnsi="宋体" w:cs="华文仿宋"/>
          <w:sz w:val="28"/>
          <w:szCs w:val="28"/>
        </w:rPr>
      </w:pPr>
    </w:p>
    <w:p>
      <w:pPr>
        <w:wordWrap w:val="0"/>
        <w:spacing w:line="360" w:lineRule="auto"/>
        <w:rPr>
          <w:rFonts w:ascii="宋体" w:hAnsi="宋体" w:cs="华文仿宋"/>
          <w:sz w:val="28"/>
          <w:szCs w:val="28"/>
        </w:rPr>
      </w:pPr>
    </w:p>
    <w:p>
      <w:pPr>
        <w:wordWrap w:val="0"/>
        <w:spacing w:line="360" w:lineRule="auto"/>
        <w:rPr>
          <w:rFonts w:ascii="宋体" w:hAnsi="宋体" w:cs="华文仿宋"/>
          <w:sz w:val="28"/>
          <w:szCs w:val="28"/>
        </w:rPr>
      </w:pPr>
    </w:p>
    <w:p>
      <w:pPr>
        <w:wordWrap w:val="0"/>
        <w:spacing w:line="360" w:lineRule="auto"/>
        <w:rPr>
          <w:rFonts w:ascii="宋体" w:hAnsi="宋体" w:cs="华文仿宋"/>
          <w:sz w:val="28"/>
          <w:szCs w:val="28"/>
        </w:rPr>
      </w:pPr>
    </w:p>
    <w:p>
      <w:pPr>
        <w:wordWrap w:val="0"/>
        <w:spacing w:line="360" w:lineRule="auto"/>
        <w:rPr>
          <w:rFonts w:ascii="宋体" w:hAnsi="宋体" w:cs="华文仿宋"/>
          <w:sz w:val="28"/>
          <w:szCs w:val="28"/>
        </w:rPr>
      </w:pPr>
    </w:p>
    <w:p>
      <w:pPr>
        <w:wordWrap w:val="0"/>
        <w:spacing w:line="360" w:lineRule="auto"/>
        <w:rPr>
          <w:rFonts w:ascii="宋体" w:hAnsi="宋体" w:cs="华文仿宋"/>
          <w:sz w:val="28"/>
          <w:szCs w:val="28"/>
        </w:rPr>
      </w:pPr>
    </w:p>
    <w:p>
      <w:pPr>
        <w:wordWrap w:val="0"/>
        <w:spacing w:line="360" w:lineRule="auto"/>
        <w:ind w:firstLine="1960" w:firstLineChars="700"/>
        <w:rPr>
          <w:rFonts w:ascii="宋体" w:hAnsi="宋体" w:cs="华文仿宋"/>
          <w:sz w:val="28"/>
          <w:szCs w:val="28"/>
        </w:rPr>
      </w:pPr>
      <w:r>
        <w:rPr>
          <w:rFonts w:hint="eastAsia" w:ascii="宋体" w:hAnsi="宋体" w:cs="华文仿宋"/>
          <w:sz w:val="28"/>
          <w:szCs w:val="28"/>
        </w:rPr>
        <w:t>供应商：</w:t>
      </w:r>
      <w:r>
        <w:rPr>
          <w:rFonts w:hint="eastAsia" w:ascii="宋体" w:hAnsi="宋体" w:cs="华文仿宋"/>
          <w:kern w:val="0"/>
          <w:sz w:val="28"/>
          <w:szCs w:val="28"/>
        </w:rPr>
        <w:t>（供应商签章）</w:t>
      </w:r>
    </w:p>
    <w:p>
      <w:pPr>
        <w:wordWrap w:val="0"/>
        <w:spacing w:line="360" w:lineRule="auto"/>
        <w:ind w:firstLine="1968" w:firstLineChars="700"/>
        <w:rPr>
          <w:rFonts w:ascii="宋体" w:hAnsi="宋体" w:cs="华文仿宋"/>
          <w:b/>
          <w:sz w:val="28"/>
          <w:szCs w:val="28"/>
          <w:u w:val="single"/>
        </w:rPr>
      </w:pPr>
    </w:p>
    <w:p>
      <w:pPr>
        <w:wordWrap w:val="0"/>
        <w:spacing w:line="360" w:lineRule="auto"/>
        <w:jc w:val="center"/>
        <w:rPr>
          <w:rFonts w:ascii="宋体" w:hAnsi="宋体" w:cs="华文仿宋"/>
          <w:sz w:val="28"/>
          <w:szCs w:val="28"/>
        </w:rPr>
      </w:pPr>
      <w:r>
        <w:rPr>
          <w:rFonts w:hint="eastAsia" w:ascii="宋体" w:hAnsi="宋体" w:cs="华文仿宋"/>
          <w:sz w:val="28"/>
          <w:szCs w:val="28"/>
        </w:rPr>
        <w:t>年   月   日</w:t>
      </w:r>
    </w:p>
    <w:p>
      <w:pPr>
        <w:wordWrap w:val="0"/>
        <w:spacing w:line="360" w:lineRule="auto"/>
        <w:jc w:val="center"/>
        <w:rPr>
          <w:rFonts w:ascii="宋体" w:hAnsi="宋体" w:cs="华文仿宋"/>
          <w:sz w:val="28"/>
          <w:szCs w:val="28"/>
        </w:rPr>
      </w:pPr>
    </w:p>
    <w:p>
      <w:pPr>
        <w:pStyle w:val="4"/>
        <w:sectPr>
          <w:pgSz w:w="11906" w:h="16838"/>
          <w:pgMar w:top="1440" w:right="1066" w:bottom="1440" w:left="1800" w:header="851" w:footer="992" w:gutter="0"/>
          <w:cols w:space="425" w:num="1"/>
          <w:docGrid w:type="lines" w:linePitch="312" w:charSpace="0"/>
        </w:sectPr>
      </w:pPr>
    </w:p>
    <w:p/>
    <w:p>
      <w:pPr>
        <w:pStyle w:val="25"/>
        <w:spacing w:line="360" w:lineRule="auto"/>
        <w:ind w:firstLine="0" w:firstLineChars="0"/>
        <w:jc w:val="center"/>
      </w:pPr>
      <w:r>
        <w:rPr>
          <w:rFonts w:hint="eastAsia"/>
        </w:rPr>
        <w:t>目　　录</w:t>
      </w:r>
    </w:p>
    <w:p>
      <w:pPr>
        <w:pStyle w:val="25"/>
        <w:spacing w:line="360" w:lineRule="auto"/>
        <w:ind w:firstLine="0" w:firstLineChars="0"/>
        <w:jc w:val="center"/>
      </w:pPr>
    </w:p>
    <w:p>
      <w:pPr>
        <w:spacing w:line="360" w:lineRule="auto"/>
        <w:ind w:firstLine="420" w:firstLineChars="200"/>
        <w:rPr>
          <w:rFonts w:ascii="宋体" w:hAnsi="宋体" w:cs="宋体"/>
        </w:rPr>
      </w:pPr>
      <w:r>
        <w:rPr>
          <w:rFonts w:hint="eastAsia" w:ascii="宋体" w:hAnsi="宋体" w:cs="宋体"/>
        </w:rPr>
        <w:t>一、资格、技术商务部分</w:t>
      </w:r>
    </w:p>
    <w:p>
      <w:pPr>
        <w:spacing w:line="360" w:lineRule="auto"/>
        <w:ind w:firstLine="420" w:firstLineChars="200"/>
        <w:rPr>
          <w:rFonts w:ascii="宋体" w:hAnsi="宋体" w:cs="宋体"/>
        </w:rPr>
      </w:pPr>
      <w:r>
        <w:rPr>
          <w:rFonts w:hint="eastAsia" w:ascii="宋体" w:hAnsi="宋体" w:cs="宋体"/>
        </w:rPr>
        <w:t>1、需要提供的资质证明文件</w:t>
      </w:r>
    </w:p>
    <w:p>
      <w:pPr>
        <w:spacing w:line="360" w:lineRule="auto"/>
        <w:ind w:firstLine="420" w:firstLineChars="200"/>
        <w:rPr>
          <w:rFonts w:ascii="宋体" w:hAnsi="宋体" w:cs="宋体"/>
        </w:rPr>
      </w:pPr>
      <w:r>
        <w:rPr>
          <w:rFonts w:hint="eastAsia" w:ascii="宋体" w:hAnsi="宋体" w:cs="宋体"/>
        </w:rPr>
        <w:t>2、磋商响应授权书</w:t>
      </w:r>
    </w:p>
    <w:p>
      <w:pPr>
        <w:spacing w:line="360" w:lineRule="auto"/>
        <w:ind w:firstLine="420" w:firstLineChars="200"/>
        <w:rPr>
          <w:rFonts w:ascii="宋体" w:hAnsi="宋体" w:cs="宋体"/>
        </w:rPr>
      </w:pPr>
      <w:r>
        <w:rPr>
          <w:rFonts w:hint="eastAsia" w:ascii="宋体" w:hAnsi="宋体" w:cs="宋体"/>
        </w:rPr>
        <w:t>3、磋商响应函</w:t>
      </w:r>
    </w:p>
    <w:p>
      <w:pPr>
        <w:spacing w:line="360" w:lineRule="auto"/>
        <w:ind w:firstLine="420" w:firstLineChars="200"/>
        <w:rPr>
          <w:rFonts w:ascii="宋体" w:hAnsi="宋体" w:cs="宋体"/>
        </w:rPr>
      </w:pPr>
      <w:r>
        <w:rPr>
          <w:rFonts w:hint="eastAsia" w:ascii="宋体" w:hAnsi="宋体" w:cs="宋体"/>
        </w:rPr>
        <w:t>4、项目实施方案</w:t>
      </w:r>
    </w:p>
    <w:p>
      <w:pPr>
        <w:spacing w:line="360" w:lineRule="auto"/>
        <w:ind w:firstLine="420" w:firstLineChars="200"/>
        <w:rPr>
          <w:rFonts w:ascii="宋体" w:hAnsi="宋体" w:cs="宋体"/>
        </w:rPr>
      </w:pPr>
      <w:r>
        <w:rPr>
          <w:rFonts w:hint="eastAsia" w:ascii="宋体" w:hAnsi="宋体" w:cs="宋体"/>
        </w:rPr>
        <w:t>5、业绩证明材料</w:t>
      </w:r>
    </w:p>
    <w:p>
      <w:pPr>
        <w:spacing w:line="360" w:lineRule="auto"/>
        <w:ind w:firstLine="420" w:firstLineChars="200"/>
        <w:rPr>
          <w:rFonts w:ascii="宋体" w:hAnsi="宋体" w:cs="宋体"/>
        </w:rPr>
      </w:pPr>
      <w:r>
        <w:rPr>
          <w:rFonts w:hint="eastAsia" w:ascii="宋体" w:hAnsi="宋体" w:cs="宋体"/>
        </w:rPr>
        <w:t>6、磋商文件要求的其他材料</w:t>
      </w:r>
    </w:p>
    <w:p>
      <w:pPr>
        <w:pStyle w:val="2"/>
        <w:ind w:firstLine="420"/>
        <w:rPr>
          <w:rFonts w:eastAsia="宋体"/>
        </w:rPr>
      </w:pPr>
      <w:r>
        <w:rPr>
          <w:rFonts w:hint="eastAsia" w:hAnsi="宋体" w:eastAsia="宋体" w:cs="宋体"/>
        </w:rPr>
        <w:t>7、服务承诺</w:t>
      </w:r>
    </w:p>
    <w:p>
      <w:pPr>
        <w:spacing w:line="360" w:lineRule="auto"/>
        <w:ind w:firstLine="420" w:firstLineChars="200"/>
        <w:rPr>
          <w:rFonts w:ascii="宋体" w:hAnsi="宋体" w:cs="宋体"/>
        </w:rPr>
      </w:pPr>
      <w:r>
        <w:rPr>
          <w:rFonts w:hint="eastAsia" w:ascii="宋体" w:hAnsi="宋体" w:cs="宋体"/>
        </w:rPr>
        <w:t>8、中小企业材料</w:t>
      </w:r>
    </w:p>
    <w:p>
      <w:pPr>
        <w:spacing w:line="360" w:lineRule="auto"/>
        <w:ind w:firstLine="420" w:firstLineChars="200"/>
        <w:rPr>
          <w:rFonts w:ascii="宋体" w:hAnsi="宋体" w:cs="宋体"/>
        </w:rPr>
      </w:pPr>
      <w:r>
        <w:rPr>
          <w:rFonts w:hint="eastAsia" w:ascii="宋体" w:hAnsi="宋体" w:cs="宋体"/>
        </w:rPr>
        <w:t>二、报价部分</w:t>
      </w:r>
    </w:p>
    <w:p>
      <w:pPr>
        <w:spacing w:line="360" w:lineRule="auto"/>
        <w:ind w:firstLine="420" w:firstLineChars="200"/>
        <w:rPr>
          <w:rFonts w:ascii="宋体" w:hAnsi="宋体" w:cs="宋体"/>
        </w:rPr>
      </w:pPr>
      <w:r>
        <w:rPr>
          <w:rFonts w:hint="eastAsia" w:ascii="宋体" w:hAnsi="宋体" w:cs="宋体"/>
        </w:rPr>
        <w:t>1、报价表</w:t>
      </w:r>
    </w:p>
    <w:p>
      <w:pPr>
        <w:pStyle w:val="25"/>
        <w:wordWrap w:val="0"/>
        <w:spacing w:line="360" w:lineRule="auto"/>
        <w:ind w:firstLine="0" w:firstLineChars="0"/>
        <w:rPr>
          <w:b w:val="0"/>
        </w:rPr>
      </w:pPr>
    </w:p>
    <w:p>
      <w:pPr>
        <w:pStyle w:val="25"/>
        <w:wordWrap w:val="0"/>
        <w:spacing w:line="360" w:lineRule="auto"/>
        <w:ind w:firstLine="0" w:firstLineChars="0"/>
        <w:rPr>
          <w:b w:val="0"/>
        </w:rPr>
      </w:pPr>
    </w:p>
    <w:p>
      <w:pPr>
        <w:pStyle w:val="25"/>
        <w:wordWrap w:val="0"/>
        <w:spacing w:line="360" w:lineRule="auto"/>
        <w:ind w:firstLine="0" w:firstLineChars="0"/>
        <w:rPr>
          <w:b w:val="0"/>
        </w:rPr>
      </w:pPr>
    </w:p>
    <w:p>
      <w:pPr>
        <w:pStyle w:val="25"/>
        <w:wordWrap w:val="0"/>
        <w:spacing w:line="360" w:lineRule="auto"/>
        <w:ind w:firstLine="0" w:firstLineChars="0"/>
        <w:rPr>
          <w:b w:val="0"/>
        </w:rPr>
      </w:pPr>
    </w:p>
    <w:p>
      <w:pPr>
        <w:pStyle w:val="25"/>
        <w:wordWrap w:val="0"/>
        <w:spacing w:line="360" w:lineRule="auto"/>
        <w:ind w:firstLine="0" w:firstLineChars="0"/>
        <w:rPr>
          <w:b w:val="0"/>
        </w:rPr>
      </w:pPr>
    </w:p>
    <w:p>
      <w:pPr>
        <w:pStyle w:val="25"/>
        <w:spacing w:line="360" w:lineRule="auto"/>
        <w:ind w:firstLine="0" w:firstLineChars="0"/>
      </w:pPr>
    </w:p>
    <w:p>
      <w:pPr>
        <w:pStyle w:val="25"/>
        <w:spacing w:line="360" w:lineRule="auto"/>
        <w:ind w:firstLine="0" w:firstLineChars="0"/>
      </w:pPr>
    </w:p>
    <w:p>
      <w:pPr>
        <w:pStyle w:val="25"/>
        <w:spacing w:line="360" w:lineRule="auto"/>
        <w:ind w:firstLine="0" w:firstLineChars="0"/>
      </w:pPr>
    </w:p>
    <w:p>
      <w:pPr>
        <w:pStyle w:val="25"/>
        <w:spacing w:line="360" w:lineRule="auto"/>
        <w:ind w:firstLine="0" w:firstLineChars="0"/>
      </w:pPr>
    </w:p>
    <w:p>
      <w:pPr>
        <w:pStyle w:val="25"/>
        <w:spacing w:line="360" w:lineRule="auto"/>
        <w:ind w:firstLine="0" w:firstLineChars="0"/>
      </w:pPr>
    </w:p>
    <w:p>
      <w:pPr>
        <w:pStyle w:val="25"/>
        <w:spacing w:line="360" w:lineRule="auto"/>
        <w:ind w:firstLine="0" w:firstLineChars="0"/>
        <w:sectPr>
          <w:pgSz w:w="11906" w:h="16838"/>
          <w:pgMar w:top="1440" w:right="1066" w:bottom="1440" w:left="1800" w:header="851" w:footer="992" w:gutter="0"/>
          <w:cols w:space="425" w:num="1"/>
          <w:docGrid w:type="lines" w:linePitch="312" w:charSpace="0"/>
        </w:sectPr>
      </w:pPr>
    </w:p>
    <w:p>
      <w:pPr>
        <w:pStyle w:val="25"/>
        <w:spacing w:line="360" w:lineRule="auto"/>
        <w:ind w:firstLine="0" w:firstLineChars="0"/>
      </w:pPr>
    </w:p>
    <w:p>
      <w:pPr>
        <w:pStyle w:val="25"/>
        <w:spacing w:line="360" w:lineRule="auto"/>
        <w:ind w:firstLine="0" w:firstLineChars="0"/>
        <w:jc w:val="center"/>
      </w:pPr>
    </w:p>
    <w:p>
      <w:pPr>
        <w:pStyle w:val="25"/>
        <w:spacing w:line="360" w:lineRule="auto"/>
        <w:ind w:firstLine="0" w:firstLineChars="0"/>
        <w:jc w:val="center"/>
      </w:pPr>
      <w:r>
        <w:rPr>
          <w:rFonts w:hint="eastAsia"/>
        </w:rPr>
        <w:t>一、资格、技术商务部分</w:t>
      </w:r>
    </w:p>
    <w:p>
      <w:pPr>
        <w:pStyle w:val="25"/>
        <w:spacing w:line="360" w:lineRule="auto"/>
        <w:ind w:firstLine="0" w:firstLineChars="0"/>
      </w:pPr>
    </w:p>
    <w:p>
      <w:pPr>
        <w:spacing w:line="360" w:lineRule="auto"/>
        <w:ind w:firstLine="420" w:firstLineChars="200"/>
        <w:rPr>
          <w:rFonts w:ascii="宋体" w:hAnsi="宋体" w:cs="宋体"/>
        </w:rPr>
      </w:pPr>
      <w:r>
        <w:rPr>
          <w:rFonts w:hint="eastAsia" w:ascii="宋体" w:hAnsi="宋体" w:cs="宋体"/>
        </w:rPr>
        <w:t>1、需要提供的资质证明文件（复印件）</w:t>
      </w:r>
    </w:p>
    <w:p>
      <w:pPr>
        <w:spacing w:line="360" w:lineRule="auto"/>
        <w:ind w:firstLine="420" w:firstLineChars="200"/>
        <w:rPr>
          <w:rFonts w:ascii="宋体" w:hAnsi="宋体" w:cs="宋体"/>
        </w:rPr>
      </w:pPr>
    </w:p>
    <w:p>
      <w:pPr>
        <w:spacing w:line="360" w:lineRule="auto"/>
        <w:ind w:firstLine="420" w:firstLineChars="200"/>
        <w:rPr>
          <w:rFonts w:ascii="宋体" w:hAnsi="宋体" w:cs="宋体"/>
        </w:rPr>
      </w:pPr>
      <w:r>
        <w:rPr>
          <w:rFonts w:hint="eastAsia" w:ascii="宋体" w:hAnsi="宋体" w:cs="宋体"/>
        </w:rPr>
        <w:t>2、磋商响应授权书</w:t>
      </w:r>
    </w:p>
    <w:p>
      <w:pPr>
        <w:spacing w:line="360" w:lineRule="auto"/>
        <w:ind w:firstLine="420" w:firstLineChars="200"/>
        <w:rPr>
          <w:rFonts w:ascii="宋体" w:hAnsi="宋体" w:cs="宋体"/>
        </w:rPr>
      </w:pPr>
      <w:r>
        <w:rPr>
          <w:rFonts w:hint="eastAsia" w:ascii="宋体" w:hAnsi="宋体" w:cs="宋体"/>
        </w:rPr>
        <w:t>致</w:t>
      </w:r>
      <w:r>
        <w:rPr>
          <w:rFonts w:hint="eastAsia" w:ascii="宋体" w:hAnsi="宋体" w:cs="宋体"/>
          <w:u w:val="single"/>
        </w:rPr>
        <w:t xml:space="preserve">         （采购单位名称）</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本授权书声明：</w:t>
      </w:r>
      <w:r>
        <w:rPr>
          <w:rFonts w:hint="eastAsia" w:ascii="宋体" w:hAnsi="宋体" w:cs="宋体"/>
          <w:u w:val="single"/>
        </w:rPr>
        <w:t xml:space="preserve">           （磋商响应人名称）</w:t>
      </w:r>
      <w:r>
        <w:rPr>
          <w:rFonts w:hint="eastAsia" w:ascii="宋体" w:hAnsi="宋体" w:cs="宋体"/>
        </w:rPr>
        <w:t>授权本单位</w:t>
      </w:r>
      <w:r>
        <w:rPr>
          <w:rFonts w:hint="eastAsia" w:ascii="宋体" w:hAnsi="宋体" w:cs="宋体"/>
          <w:u w:val="single"/>
        </w:rPr>
        <w:t xml:space="preserve">         （磋商响应人授权代表姓名、职务）</w:t>
      </w:r>
      <w:r>
        <w:rPr>
          <w:rFonts w:hint="eastAsia" w:ascii="宋体" w:hAnsi="宋体" w:cs="宋体"/>
        </w:rPr>
        <w:t>代表本单位参加</w:t>
      </w:r>
      <w:r>
        <w:rPr>
          <w:rFonts w:hint="eastAsia" w:ascii="宋体" w:hAnsi="宋体" w:cs="宋体"/>
          <w:u w:val="single"/>
        </w:rPr>
        <w:t xml:space="preserve">             （项目全称）</w:t>
      </w:r>
      <w:r>
        <w:rPr>
          <w:rFonts w:hint="eastAsia" w:ascii="宋体" w:hAnsi="宋体" w:cs="宋体"/>
        </w:rPr>
        <w:t>项目磋商响应活动,全权代表本公司处理磋商响应过程的一切事宜，包括但不限于：磋商响应、参与开标、谈判、合同签署、合同执行等。磋商响应人授权代表在磋商响应过程中所签署的一切文件和处理与之有关的一切事务，本公司均予以认可并对此承担责任。磋商响应人授权代表无转委托权。特此授权。</w:t>
      </w:r>
    </w:p>
    <w:p>
      <w:pPr>
        <w:spacing w:line="360" w:lineRule="auto"/>
        <w:ind w:firstLine="420" w:firstLineChars="200"/>
        <w:rPr>
          <w:rFonts w:ascii="宋体" w:hAnsi="宋体" w:cs="宋体"/>
        </w:rPr>
      </w:pPr>
    </w:p>
    <w:p>
      <w:pPr>
        <w:spacing w:line="360" w:lineRule="auto"/>
        <w:ind w:firstLine="422" w:firstLineChars="200"/>
        <w:rPr>
          <w:rFonts w:ascii="宋体" w:hAnsi="宋体" w:cs="宋体"/>
          <w:b/>
          <w:bCs/>
        </w:rPr>
      </w:pPr>
      <w:r>
        <w:rPr>
          <w:rFonts w:hint="eastAsia" w:ascii="宋体" w:hAnsi="宋体" w:cs="宋体"/>
          <w:b/>
          <w:bCs/>
        </w:rPr>
        <w:t>本授权书自出具之日起生效。</w:t>
      </w:r>
    </w:p>
    <w:p>
      <w:pPr>
        <w:spacing w:line="360" w:lineRule="auto"/>
        <w:ind w:firstLine="422" w:firstLineChars="200"/>
        <w:rPr>
          <w:rFonts w:ascii="宋体" w:hAnsi="宋体" w:cs="宋体"/>
          <w:b/>
          <w:bCs/>
        </w:rPr>
      </w:pPr>
    </w:p>
    <w:p>
      <w:pPr>
        <w:spacing w:line="360" w:lineRule="auto"/>
        <w:ind w:firstLine="422" w:firstLineChars="200"/>
        <w:rPr>
          <w:rFonts w:ascii="宋体" w:hAnsi="宋体" w:cs="宋体"/>
          <w:b/>
          <w:bCs/>
        </w:rPr>
      </w:pPr>
      <w:r>
        <w:rPr>
          <w:rFonts w:hint="eastAsia" w:ascii="宋体" w:hAnsi="宋体" w:cs="宋体"/>
          <w:b/>
          <w:bCs/>
        </w:rPr>
        <w:t>特此声明。</w:t>
      </w:r>
    </w:p>
    <w:p>
      <w:pPr>
        <w:spacing w:line="360" w:lineRule="auto"/>
        <w:ind w:firstLine="420" w:firstLineChars="200"/>
        <w:rPr>
          <w:rFonts w:ascii="宋体" w:hAnsi="宋体" w:cs="宋体"/>
        </w:rPr>
      </w:pPr>
    </w:p>
    <w:p>
      <w:pPr>
        <w:spacing w:line="360" w:lineRule="auto"/>
        <w:ind w:firstLine="420" w:firstLineChars="200"/>
        <w:rPr>
          <w:rFonts w:ascii="宋体" w:hAnsi="宋体" w:cs="宋体"/>
        </w:rPr>
      </w:pPr>
    </w:p>
    <w:p>
      <w:pPr>
        <w:spacing w:line="360" w:lineRule="auto"/>
        <w:ind w:firstLine="420" w:firstLineChars="200"/>
        <w:rPr>
          <w:rFonts w:ascii="宋体" w:hAnsi="宋体" w:cs="宋体"/>
        </w:rPr>
      </w:pPr>
    </w:p>
    <w:p>
      <w:pPr>
        <w:spacing w:line="360" w:lineRule="auto"/>
        <w:ind w:firstLine="5460" w:firstLineChars="2600"/>
        <w:rPr>
          <w:rFonts w:ascii="宋体" w:hAnsi="宋体" w:cs="宋体"/>
        </w:rPr>
      </w:pPr>
      <w:r>
        <w:rPr>
          <w:rFonts w:hint="eastAsia" w:ascii="宋体" w:hAnsi="宋体" w:cs="宋体"/>
        </w:rPr>
        <w:t>磋商响应人签章：</w:t>
      </w:r>
    </w:p>
    <w:p>
      <w:pPr>
        <w:spacing w:line="360" w:lineRule="auto"/>
        <w:ind w:firstLine="420" w:firstLineChars="200"/>
        <w:rPr>
          <w:rFonts w:ascii="宋体" w:hAnsi="宋体" w:cs="宋体"/>
        </w:rPr>
      </w:pPr>
      <w:r>
        <w:rPr>
          <w:rFonts w:hint="eastAsia" w:ascii="宋体" w:hAnsi="宋体" w:cs="宋体"/>
        </w:rPr>
        <w:t xml:space="preserve">                                                日          期：</w:t>
      </w:r>
    </w:p>
    <w:p>
      <w:pPr>
        <w:pStyle w:val="25"/>
        <w:spacing w:line="360" w:lineRule="auto"/>
        <w:ind w:firstLine="551" w:firstLineChars="196"/>
      </w:pPr>
    </w:p>
    <w:p>
      <w:pPr>
        <w:pStyle w:val="25"/>
        <w:spacing w:line="360" w:lineRule="auto"/>
        <w:ind w:firstLine="551" w:firstLineChars="196"/>
      </w:pPr>
    </w:p>
    <w:p>
      <w:pPr>
        <w:pStyle w:val="25"/>
        <w:spacing w:line="360" w:lineRule="auto"/>
        <w:ind w:firstLine="551" w:firstLineChars="196"/>
      </w:pPr>
    </w:p>
    <w:p>
      <w:pPr>
        <w:pStyle w:val="25"/>
        <w:spacing w:line="360" w:lineRule="auto"/>
        <w:ind w:firstLine="0" w:firstLineChars="0"/>
      </w:pPr>
    </w:p>
    <w:p>
      <w:pPr>
        <w:pStyle w:val="25"/>
        <w:spacing w:line="360" w:lineRule="auto"/>
        <w:ind w:firstLine="0" w:firstLineChars="0"/>
      </w:pPr>
    </w:p>
    <w:p>
      <w:pPr>
        <w:pStyle w:val="25"/>
        <w:spacing w:line="360" w:lineRule="auto"/>
        <w:ind w:firstLine="0" w:firstLineChars="0"/>
        <w:sectPr>
          <w:pgSz w:w="11906" w:h="16838"/>
          <w:pgMar w:top="1440" w:right="1066" w:bottom="1440" w:left="1800" w:header="851" w:footer="992" w:gutter="0"/>
          <w:cols w:space="425" w:num="1"/>
          <w:docGrid w:type="lines" w:linePitch="312" w:charSpace="0"/>
        </w:sectPr>
      </w:pPr>
    </w:p>
    <w:p>
      <w:pPr>
        <w:pStyle w:val="25"/>
        <w:spacing w:line="360" w:lineRule="auto"/>
        <w:ind w:firstLine="0" w:firstLineChars="0"/>
      </w:pPr>
    </w:p>
    <w:p>
      <w:pPr>
        <w:pStyle w:val="25"/>
        <w:numPr>
          <w:ilvl w:val="0"/>
          <w:numId w:val="2"/>
        </w:numPr>
        <w:spacing w:line="360" w:lineRule="auto"/>
        <w:ind w:firstLine="551" w:firstLineChars="196"/>
        <w:jc w:val="center"/>
      </w:pPr>
      <w:r>
        <w:rPr>
          <w:rFonts w:hint="eastAsia"/>
        </w:rPr>
        <w:t>磋商响应函格式</w:t>
      </w:r>
    </w:p>
    <w:p>
      <w:pPr>
        <w:pStyle w:val="25"/>
        <w:spacing w:line="360" w:lineRule="auto"/>
        <w:ind w:firstLine="0" w:firstLineChars="0"/>
      </w:pPr>
    </w:p>
    <w:p>
      <w:pPr>
        <w:pStyle w:val="25"/>
        <w:spacing w:line="360" w:lineRule="auto"/>
        <w:ind w:firstLine="0" w:firstLineChars="0"/>
        <w:rPr>
          <w:b w:val="0"/>
          <w:bCs w:val="0"/>
          <w:sz w:val="21"/>
          <w:szCs w:val="21"/>
        </w:rPr>
      </w:pPr>
      <w:r>
        <w:rPr>
          <w:rFonts w:hint="eastAsia"/>
          <w:b w:val="0"/>
          <w:bCs w:val="0"/>
          <w:sz w:val="21"/>
          <w:szCs w:val="21"/>
        </w:rPr>
        <w:t>致（采购单位名称）：</w:t>
      </w:r>
    </w:p>
    <w:p>
      <w:pPr>
        <w:wordWrap w:val="0"/>
        <w:spacing w:line="360" w:lineRule="auto"/>
        <w:ind w:firstLine="420" w:firstLineChars="200"/>
        <w:rPr>
          <w:rFonts w:ascii="宋体" w:hAnsi="宋体" w:cs="华文仿宋"/>
        </w:rPr>
      </w:pPr>
      <w:r>
        <w:rPr>
          <w:rFonts w:hint="eastAsia" w:ascii="宋体" w:hAnsi="宋体" w:cs="华文仿宋"/>
        </w:rPr>
        <w:t>1、根据贵方竞争性磋商公告，我们决定参加贵方组织的项目的竞争性磋商采购活动。我方授权(姓名和职务)代表我方（磋商响应单位的名称）全权处理本项目磋商响应的有关事宜。</w:t>
      </w:r>
    </w:p>
    <w:p>
      <w:pPr>
        <w:wordWrap w:val="0"/>
        <w:spacing w:line="360" w:lineRule="auto"/>
        <w:ind w:firstLine="420" w:firstLineChars="200"/>
        <w:rPr>
          <w:rFonts w:ascii="宋体" w:hAnsi="宋体" w:cs="华文仿宋"/>
        </w:rPr>
      </w:pPr>
      <w:r>
        <w:rPr>
          <w:rFonts w:hint="eastAsia" w:ascii="宋体" w:hAnsi="宋体" w:cs="华文仿宋"/>
        </w:rPr>
        <w:t>2、我方完全满足《中华人民共和国政府采购法》第二十二条的全部要求，即具有良好的商业信誉和健全的财务会计制度、履行合同所必需的设备和专业技术能力、有依法缴纳税收和社会保障资金的良好记录、近三年内在经营活动中无重大违法记录；上述承诺若有虚假，同意按政府采购法第七十七条处理。</w:t>
      </w:r>
    </w:p>
    <w:p>
      <w:pPr>
        <w:wordWrap w:val="0"/>
        <w:spacing w:line="360" w:lineRule="auto"/>
        <w:ind w:firstLine="420" w:firstLineChars="200"/>
      </w:pPr>
      <w:r>
        <w:rPr>
          <w:rFonts w:hint="eastAsia" w:ascii="宋体" w:hAnsi="宋体" w:cs="华文仿宋"/>
        </w:rPr>
        <w:t>3、至投标截止日，我方、包括我方法定代表人____________及拟派项目经理（项目负责人）____________近三年内均未被人民检察院列入行贿犯罪档案；投标截止时间前，我单位未被人民法院列入失信被执行人、未被工商行政管理部门列入企业经营异常名录、未被税务部门列入重大税收违法案件当事人名单、未被政府采购监管部门列入政府采购严重违法失信行为记录名单。上述承诺若有虚假，同意按政府采购法第七十七条接受处理。</w:t>
      </w:r>
    </w:p>
    <w:p>
      <w:pPr>
        <w:wordWrap w:val="0"/>
        <w:spacing w:line="360" w:lineRule="auto"/>
        <w:ind w:firstLine="420" w:firstLineChars="200"/>
        <w:rPr>
          <w:rFonts w:ascii="宋体" w:hAnsi="宋体" w:cs="华文仿宋"/>
        </w:rPr>
      </w:pPr>
      <w:r>
        <w:rPr>
          <w:rFonts w:hint="eastAsia" w:ascii="宋体" w:hAnsi="宋体" w:cs="华文仿宋"/>
        </w:rPr>
        <w:t>4、我方愿意按照磋商文件规定的各项要求，向采购人提供所需的货物与服务。</w:t>
      </w:r>
    </w:p>
    <w:p>
      <w:pPr>
        <w:wordWrap w:val="0"/>
        <w:spacing w:line="360" w:lineRule="auto"/>
        <w:ind w:firstLine="420" w:firstLineChars="200"/>
        <w:rPr>
          <w:rFonts w:ascii="宋体" w:hAnsi="宋体" w:cs="华文仿宋"/>
        </w:rPr>
      </w:pPr>
      <w:r>
        <w:rPr>
          <w:rFonts w:hint="eastAsia" w:ascii="宋体" w:hAnsi="宋体" w:cs="华文仿宋"/>
        </w:rPr>
        <w:t>5、一旦我方成交，我方将严格履行合同规定的责任和义务。</w:t>
      </w:r>
    </w:p>
    <w:p>
      <w:pPr>
        <w:wordWrap w:val="0"/>
        <w:spacing w:line="360" w:lineRule="auto"/>
        <w:ind w:firstLine="420" w:firstLineChars="200"/>
        <w:rPr>
          <w:rFonts w:ascii="宋体" w:hAnsi="宋体" w:cs="华文仿宋"/>
        </w:rPr>
      </w:pPr>
      <w:r>
        <w:rPr>
          <w:rFonts w:hint="eastAsia" w:ascii="宋体" w:hAnsi="宋体" w:cs="华文仿宋"/>
        </w:rPr>
        <w:t>6、我方同意按照磋商文件的要求，向贵方递交金额为人民币（大写）</w:t>
      </w:r>
      <w:r>
        <w:rPr>
          <w:rFonts w:hint="eastAsia" w:ascii="宋体" w:hAnsi="宋体" w:cs="华文仿宋"/>
          <w:u w:val="single"/>
        </w:rPr>
        <w:t xml:space="preserve"> / </w:t>
      </w:r>
      <w:r>
        <w:rPr>
          <w:rFonts w:hint="eastAsia" w:ascii="宋体" w:hAnsi="宋体" w:cs="华文仿宋"/>
        </w:rPr>
        <w:t>的磋商响应保证金。并且承诺，在竞争性磋商有效期内如果我方撤回磋商响应文件或成交后拒绝签订合同，我方将放弃要求贵方退还该磋商响应保证金的权力。</w:t>
      </w:r>
    </w:p>
    <w:p>
      <w:pPr>
        <w:tabs>
          <w:tab w:val="left" w:pos="840"/>
        </w:tabs>
        <w:wordWrap w:val="0"/>
        <w:spacing w:line="360" w:lineRule="auto"/>
        <w:ind w:firstLine="420" w:firstLineChars="200"/>
        <w:rPr>
          <w:rFonts w:ascii="宋体" w:hAnsi="宋体" w:cs="华文仿宋"/>
        </w:rPr>
      </w:pPr>
      <w:r>
        <w:rPr>
          <w:rFonts w:hint="eastAsia" w:ascii="宋体" w:hAnsi="宋体" w:cs="华文仿宋"/>
        </w:rPr>
        <w:t>7、我方愿意提供贵方可能另外要求的、与磋商响应有关的文件资料，并保证我方已提供和将要提供的文件是真实的、准确的。</w:t>
      </w:r>
    </w:p>
    <w:p>
      <w:pPr>
        <w:tabs>
          <w:tab w:val="left" w:pos="0"/>
          <w:tab w:val="left" w:pos="840"/>
        </w:tabs>
        <w:wordWrap w:val="0"/>
        <w:spacing w:line="360" w:lineRule="auto"/>
        <w:ind w:firstLine="420" w:firstLineChars="200"/>
        <w:rPr>
          <w:rFonts w:ascii="宋体" w:hAnsi="宋体" w:cs="华文仿宋"/>
        </w:rPr>
      </w:pPr>
      <w:r>
        <w:rPr>
          <w:rFonts w:hint="eastAsia" w:ascii="宋体" w:hAnsi="宋体" w:cs="华文仿宋"/>
        </w:rPr>
        <w:t>8、我方完全理解贵方不一定将合同授予最低报价（折扣）的供应商。</w:t>
      </w:r>
    </w:p>
    <w:p>
      <w:pPr>
        <w:tabs>
          <w:tab w:val="left" w:pos="0"/>
          <w:tab w:val="left" w:pos="840"/>
        </w:tabs>
        <w:wordWrap w:val="0"/>
        <w:spacing w:line="360" w:lineRule="auto"/>
        <w:ind w:firstLine="420" w:firstLineChars="200"/>
        <w:rPr>
          <w:rFonts w:ascii="宋体" w:hAnsi="宋体" w:cs="华文仿宋"/>
        </w:rPr>
      </w:pPr>
    </w:p>
    <w:p>
      <w:pPr>
        <w:pStyle w:val="25"/>
        <w:spacing w:line="360" w:lineRule="auto"/>
        <w:ind w:right="980" w:firstLine="422"/>
        <w:jc w:val="center"/>
        <w:rPr>
          <w:sz w:val="21"/>
          <w:szCs w:val="21"/>
        </w:rPr>
      </w:pPr>
      <w:bookmarkStart w:id="9" w:name="_Toc400805871"/>
      <w:bookmarkStart w:id="10" w:name="_Toc393705366"/>
      <w:r>
        <w:rPr>
          <w:rFonts w:hint="eastAsia"/>
          <w:sz w:val="21"/>
          <w:szCs w:val="21"/>
        </w:rPr>
        <w:t xml:space="preserve">                                             供应商签章：</w:t>
      </w:r>
    </w:p>
    <w:p>
      <w:pPr>
        <w:pStyle w:val="25"/>
        <w:spacing w:line="360" w:lineRule="auto"/>
        <w:ind w:right="980" w:firstLine="422"/>
        <w:jc w:val="center"/>
        <w:rPr>
          <w:rFonts w:cs="宋体"/>
          <w:sz w:val="21"/>
          <w:szCs w:val="21"/>
        </w:rPr>
      </w:pPr>
      <w:r>
        <w:rPr>
          <w:rFonts w:hint="eastAsia" w:cs="宋体"/>
          <w:sz w:val="21"/>
          <w:szCs w:val="21"/>
        </w:rPr>
        <w:t xml:space="preserve">　　　　　　　　　　　　　　　               </w:t>
      </w:r>
      <w:r>
        <w:rPr>
          <w:rFonts w:cs="宋体"/>
          <w:sz w:val="21"/>
          <w:szCs w:val="21"/>
        </w:rPr>
        <w:t>日    期：</w:t>
      </w:r>
    </w:p>
    <w:p>
      <w:pPr>
        <w:pStyle w:val="25"/>
        <w:spacing w:line="360" w:lineRule="auto"/>
        <w:ind w:right="980" w:firstLine="422"/>
        <w:jc w:val="center"/>
        <w:rPr>
          <w:rFonts w:cs="宋体"/>
          <w:sz w:val="21"/>
          <w:szCs w:val="21"/>
        </w:rPr>
      </w:pPr>
    </w:p>
    <w:p>
      <w:pPr>
        <w:pStyle w:val="25"/>
        <w:spacing w:line="360" w:lineRule="auto"/>
        <w:ind w:right="980" w:firstLine="422"/>
        <w:jc w:val="center"/>
        <w:rPr>
          <w:rFonts w:cs="宋体"/>
          <w:sz w:val="21"/>
          <w:szCs w:val="21"/>
        </w:rPr>
      </w:pPr>
    </w:p>
    <w:p>
      <w:pPr>
        <w:pStyle w:val="25"/>
        <w:spacing w:line="360" w:lineRule="auto"/>
        <w:ind w:right="980" w:firstLine="422"/>
        <w:jc w:val="center"/>
        <w:rPr>
          <w:rFonts w:cs="宋体"/>
          <w:sz w:val="21"/>
          <w:szCs w:val="21"/>
        </w:rPr>
        <w:sectPr>
          <w:pgSz w:w="11906" w:h="16838"/>
          <w:pgMar w:top="1440" w:right="1066" w:bottom="1440" w:left="1800" w:header="851" w:footer="992" w:gutter="0"/>
          <w:cols w:space="425" w:num="1"/>
          <w:docGrid w:type="lines" w:linePitch="312" w:charSpace="0"/>
        </w:sectPr>
      </w:pPr>
    </w:p>
    <w:p>
      <w:pPr>
        <w:pStyle w:val="25"/>
        <w:spacing w:line="360" w:lineRule="auto"/>
        <w:ind w:right="980" w:firstLine="422"/>
        <w:jc w:val="center"/>
        <w:rPr>
          <w:rFonts w:cs="宋体"/>
          <w:sz w:val="21"/>
          <w:szCs w:val="21"/>
        </w:rPr>
      </w:pPr>
    </w:p>
    <w:p>
      <w:pPr>
        <w:pStyle w:val="25"/>
        <w:numPr>
          <w:ilvl w:val="0"/>
          <w:numId w:val="2"/>
        </w:numPr>
        <w:spacing w:line="360" w:lineRule="auto"/>
        <w:ind w:firstLine="551" w:firstLineChars="196"/>
      </w:pPr>
      <w:r>
        <w:rPr>
          <w:rFonts w:hint="eastAsia"/>
        </w:rPr>
        <w:t>项目实施方案</w:t>
      </w:r>
      <w:bookmarkEnd w:id="9"/>
      <w:bookmarkEnd w:id="10"/>
    </w:p>
    <w:p>
      <w:pPr>
        <w:wordWrap w:val="0"/>
        <w:spacing w:line="360" w:lineRule="auto"/>
        <w:rPr>
          <w:rFonts w:ascii="宋体" w:hAnsi="宋体" w:cs="华文仿宋"/>
          <w:b/>
        </w:rPr>
      </w:pPr>
      <w:r>
        <w:rPr>
          <w:rFonts w:hint="eastAsia" w:ascii="宋体" w:hAnsi="宋体" w:cs="华文仿宋"/>
          <w:b/>
        </w:rPr>
        <w:t>（一）供应商简介</w:t>
      </w:r>
    </w:p>
    <w:p>
      <w:pPr>
        <w:autoSpaceDN w:val="0"/>
        <w:spacing w:after="156" w:line="360" w:lineRule="auto"/>
      </w:pPr>
      <w:r>
        <w:rPr>
          <w:rFonts w:hint="eastAsia" w:ascii="宋体" w:hAnsi="宋体" w:cs="华文仿宋"/>
          <w:b/>
        </w:rPr>
        <w:t>（二）项目实施方案</w:t>
      </w:r>
    </w:p>
    <w:p>
      <w:pPr>
        <w:pStyle w:val="25"/>
        <w:ind w:firstLine="560"/>
        <w:rPr>
          <w:bCs w:val="0"/>
        </w:rPr>
      </w:pPr>
      <w:bookmarkStart w:id="11" w:name="_Toc393705369"/>
      <w:bookmarkStart w:id="12" w:name="_Toc400805873"/>
      <w:r>
        <w:rPr>
          <w:rFonts w:hint="eastAsia"/>
          <w:b w:val="0"/>
          <w:bCs w:val="0"/>
        </w:rPr>
        <w:t>5、</w:t>
      </w:r>
      <w:r>
        <w:rPr>
          <w:rFonts w:hint="eastAsia"/>
          <w:bCs w:val="0"/>
        </w:rPr>
        <w:t>业绩证明材料</w:t>
      </w:r>
    </w:p>
    <w:p>
      <w:pPr>
        <w:pStyle w:val="25"/>
        <w:spacing w:line="360" w:lineRule="auto"/>
        <w:rPr>
          <w:bCs w:val="0"/>
        </w:rPr>
      </w:pPr>
      <w:r>
        <w:rPr>
          <w:rFonts w:hint="eastAsia"/>
          <w:bCs w:val="0"/>
        </w:rPr>
        <w:t>6、磋商文件要求的其它材料</w:t>
      </w:r>
      <w:bookmarkEnd w:id="11"/>
      <w:bookmarkEnd w:id="12"/>
    </w:p>
    <w:p>
      <w:pPr>
        <w:pStyle w:val="25"/>
        <w:spacing w:line="360" w:lineRule="auto"/>
        <w:rPr>
          <w:bCs w:val="0"/>
        </w:rPr>
      </w:pPr>
      <w:r>
        <w:rPr>
          <w:rFonts w:hint="eastAsia"/>
          <w:szCs w:val="21"/>
        </w:rPr>
        <w:t>7、服务承诺</w:t>
      </w: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pPr>
    </w:p>
    <w:p>
      <w:pPr>
        <w:pStyle w:val="26"/>
        <w:rPr>
          <w:b/>
          <w:color w:val="auto"/>
          <w:sz w:val="28"/>
          <w:szCs w:val="28"/>
        </w:rPr>
        <w:sectPr>
          <w:pgSz w:w="11906" w:h="16838"/>
          <w:pgMar w:top="1440" w:right="1066" w:bottom="1440" w:left="1800" w:header="851" w:footer="992" w:gutter="0"/>
          <w:cols w:space="425" w:num="1"/>
          <w:docGrid w:type="lines" w:linePitch="312" w:charSpace="0"/>
        </w:sectPr>
      </w:pPr>
    </w:p>
    <w:p>
      <w:pPr>
        <w:pStyle w:val="25"/>
        <w:rPr>
          <w:bCs w:val="0"/>
          <w:sz w:val="32"/>
          <w:szCs w:val="32"/>
        </w:rPr>
      </w:pPr>
      <w:r>
        <w:rPr>
          <w:rFonts w:hint="eastAsia"/>
          <w:bCs w:val="0"/>
        </w:rPr>
        <w:t>8、</w:t>
      </w:r>
      <w:r>
        <w:rPr>
          <w:rFonts w:hint="eastAsia"/>
          <w:bCs w:val="0"/>
          <w:sz w:val="32"/>
          <w:szCs w:val="32"/>
        </w:rPr>
        <w:t>中小企业材料</w:t>
      </w:r>
    </w:p>
    <w:p>
      <w:pPr>
        <w:pStyle w:val="25"/>
        <w:ind w:firstLine="560"/>
        <w:rPr>
          <w:b w:val="0"/>
        </w:rPr>
      </w:pPr>
      <w:r>
        <w:rPr>
          <w:rFonts w:hint="eastAsia"/>
          <w:b w:val="0"/>
        </w:rPr>
        <w:t>依据《政府采购促进中小企业发展管理办法》（财库〔2020〕46 号），在政府 采购活动中，供应商提供的货物、工程或者服务符合下列情形的，享受本办法规定 的中小企业扶持政策：</w:t>
      </w:r>
    </w:p>
    <w:p>
      <w:pPr>
        <w:pStyle w:val="25"/>
        <w:ind w:firstLine="560"/>
        <w:rPr>
          <w:b w:val="0"/>
        </w:rPr>
      </w:pPr>
      <w:r>
        <w:rPr>
          <w:rFonts w:hint="eastAsia"/>
          <w:b w:val="0"/>
        </w:rPr>
        <w:t xml:space="preserve">在货物采购项目中，货物由中小企业制造，即货物由中小企业生产且 使用该中小企业商号或者注册商标；（二）在工程采购项目中，工程由中小企业承 建，即工程施工单位为中小企业；（三）在服务采购项目中，服务由中小企业承接， 即提供服务的人员为中小企业依照《中华人民共和国劳动合同法》订立劳动合同的 从业人员。 </w:t>
      </w:r>
    </w:p>
    <w:p>
      <w:pPr>
        <w:pStyle w:val="25"/>
        <w:ind w:firstLine="560"/>
        <w:rPr>
          <w:b w:val="0"/>
        </w:rPr>
      </w:pPr>
      <w:r>
        <w:rPr>
          <w:rFonts w:hint="eastAsia"/>
          <w:b w:val="0"/>
        </w:rPr>
        <w:t>在货物采购项目中，供应商提供的货物既有中小企业制造货物，也有大型企业 制造货物的，不享受本办法规定的中小企业扶持政策。以联合体形式参加政府采购 活动，联合体各方均为中小企业的，联合体视同中小企业。其中，联合体各方均为小微企业的，联合体视同小微企业。</w:t>
      </w:r>
    </w:p>
    <w:p>
      <w:pPr>
        <w:pStyle w:val="25"/>
        <w:ind w:firstLine="560"/>
        <w:rPr>
          <w:b w:val="0"/>
        </w:rPr>
      </w:pPr>
      <w:r>
        <w:rPr>
          <w:rFonts w:hint="eastAsia"/>
          <w:b w:val="0"/>
        </w:rPr>
        <w:t>本项目将对排名第一的中标候选人提供的中小企业证明材料，随评审结果一并公示。如涉嫌造假，将由监管部门按相关规定进行处理。</w:t>
      </w:r>
    </w:p>
    <w:p>
      <w:pPr>
        <w:pStyle w:val="5"/>
        <w:jc w:val="center"/>
        <w:sectPr>
          <w:pgSz w:w="11906" w:h="16838"/>
          <w:pgMar w:top="851" w:right="1418" w:bottom="1418" w:left="1418" w:header="851" w:footer="992" w:gutter="0"/>
          <w:cols w:space="425" w:num="1"/>
          <w:docGrid w:type="lines" w:linePitch="312" w:charSpace="0"/>
        </w:sectPr>
      </w:pPr>
    </w:p>
    <w:p/>
    <w:p>
      <w:pPr>
        <w:spacing w:line="360" w:lineRule="auto"/>
        <w:jc w:val="center"/>
        <w:rPr>
          <w:rFonts w:ascii="宋体" w:hAnsi="宋体" w:cs="华文仿宋"/>
          <w:sz w:val="24"/>
        </w:rPr>
      </w:pPr>
      <w:r>
        <w:rPr>
          <w:rFonts w:hint="eastAsia" w:ascii="宋体" w:hAnsi="宋体" w:cs="华文仿宋"/>
          <w:sz w:val="24"/>
        </w:rPr>
        <w:t>中小企业声明函（服务）</w:t>
      </w:r>
    </w:p>
    <w:p>
      <w:pPr>
        <w:pStyle w:val="25"/>
        <w:spacing w:line="360" w:lineRule="auto"/>
        <w:ind w:firstLine="480"/>
        <w:rPr>
          <w:rFonts w:cs="宋体"/>
          <w:b w:val="0"/>
          <w:bCs w:val="0"/>
          <w:sz w:val="24"/>
          <w:szCs w:val="24"/>
        </w:rPr>
      </w:pPr>
      <w:r>
        <w:rPr>
          <w:rFonts w:hint="eastAsia"/>
          <w:b w:val="0"/>
          <w:bCs w:val="0"/>
          <w:sz w:val="24"/>
          <w:szCs w:val="24"/>
        </w:rPr>
        <w:t>本公司（联合体）郑重声明，根据《政府采购促进中小企业发展管理办法》（财库</w:t>
      </w:r>
      <w:r>
        <w:rPr>
          <w:sz w:val="24"/>
          <w:szCs w:val="24"/>
        </w:rPr>
        <w:t>〔2020〕</w:t>
      </w:r>
      <w:r>
        <w:rPr>
          <w:rFonts w:hint="eastAsia"/>
          <w:b w:val="0"/>
          <w:bCs w:val="0"/>
          <w:sz w:val="24"/>
          <w:szCs w:val="24"/>
        </w:rPr>
        <w:t>46号）的规定，本公司（联合体）参加</w:t>
      </w:r>
      <w:r>
        <w:rPr>
          <w:rFonts w:hint="eastAsia"/>
          <w:b w:val="0"/>
          <w:bCs w:val="0"/>
          <w:iCs/>
          <w:sz w:val="24"/>
          <w:szCs w:val="24"/>
          <w:u w:val="single"/>
        </w:rPr>
        <w:t>（单位名称）</w:t>
      </w:r>
      <w:r>
        <w:rPr>
          <w:rFonts w:hint="eastAsia"/>
          <w:b w:val="0"/>
          <w:bCs w:val="0"/>
          <w:sz w:val="24"/>
          <w:szCs w:val="24"/>
        </w:rPr>
        <w:t>的</w:t>
      </w:r>
      <w:r>
        <w:rPr>
          <w:rFonts w:hint="eastAsia"/>
          <w:b w:val="0"/>
          <w:bCs w:val="0"/>
          <w:sz w:val="24"/>
          <w:szCs w:val="24"/>
          <w:u w:val="single"/>
        </w:rPr>
        <w:t>（</w:t>
      </w:r>
      <w:r>
        <w:rPr>
          <w:rFonts w:hint="eastAsia"/>
          <w:b w:val="0"/>
          <w:bCs w:val="0"/>
          <w:iCs/>
          <w:sz w:val="24"/>
          <w:szCs w:val="24"/>
          <w:u w:val="single"/>
        </w:rPr>
        <w:t>项目名称</w:t>
      </w:r>
      <w:r>
        <w:rPr>
          <w:rFonts w:hint="eastAsia"/>
          <w:b w:val="0"/>
          <w:bCs w:val="0"/>
          <w:sz w:val="24"/>
          <w:szCs w:val="24"/>
          <w:u w:val="single"/>
        </w:rPr>
        <w:t>）</w:t>
      </w:r>
      <w:r>
        <w:rPr>
          <w:rFonts w:hint="eastAsia"/>
          <w:b w:val="0"/>
          <w:bCs w:val="0"/>
          <w:sz w:val="24"/>
          <w:szCs w:val="24"/>
        </w:rPr>
        <w:t>采购活动，服务全部由符合政策要求的中小企业承接。相关企业（含联合体中的中小企业</w:t>
      </w:r>
      <w:r>
        <w:rPr>
          <w:rFonts w:hint="eastAsia" w:cs="宋体"/>
          <w:b w:val="0"/>
          <w:bCs w:val="0"/>
          <w:sz w:val="24"/>
          <w:szCs w:val="24"/>
        </w:rPr>
        <w:t>、签订分包意向协议的中小企业）的具体情况如下：</w:t>
      </w:r>
    </w:p>
    <w:p>
      <w:pPr>
        <w:pStyle w:val="25"/>
        <w:numPr>
          <w:ilvl w:val="0"/>
          <w:numId w:val="3"/>
        </w:numPr>
        <w:spacing w:line="360" w:lineRule="auto"/>
        <w:ind w:firstLine="480"/>
        <w:rPr>
          <w:rFonts w:cs="宋体"/>
          <w:b w:val="0"/>
          <w:bCs w:val="0"/>
          <w:iCs/>
          <w:sz w:val="24"/>
          <w:szCs w:val="24"/>
          <w:u w:val="single"/>
        </w:rPr>
      </w:pPr>
      <w:r>
        <w:rPr>
          <w:rFonts w:hint="eastAsia" w:cs="宋体"/>
          <w:b w:val="0"/>
          <w:bCs w:val="0"/>
          <w:iCs/>
          <w:sz w:val="24"/>
          <w:szCs w:val="24"/>
          <w:u w:val="single"/>
        </w:rPr>
        <w:t>（标的名称）</w:t>
      </w:r>
      <w:r>
        <w:rPr>
          <w:rFonts w:hint="eastAsia" w:cs="宋体"/>
          <w:b w:val="0"/>
          <w:bCs w:val="0"/>
          <w:iCs/>
          <w:sz w:val="24"/>
          <w:szCs w:val="24"/>
        </w:rPr>
        <w:t>，</w:t>
      </w:r>
      <w:r>
        <w:rPr>
          <w:rFonts w:hint="eastAsia" w:cs="宋体"/>
          <w:b w:val="0"/>
          <w:bCs w:val="0"/>
          <w:sz w:val="24"/>
          <w:szCs w:val="24"/>
        </w:rPr>
        <w:t>属于</w:t>
      </w:r>
      <w:r>
        <w:rPr>
          <w:rFonts w:hint="eastAsia" w:cs="宋体"/>
          <w:b w:val="0"/>
          <w:bCs w:val="0"/>
          <w:iCs/>
          <w:sz w:val="24"/>
          <w:szCs w:val="24"/>
          <w:u w:val="single"/>
        </w:rPr>
        <w:t>（所属行业），</w:t>
      </w:r>
      <w:r>
        <w:rPr>
          <w:rFonts w:hint="eastAsia" w:cs="宋体"/>
          <w:b w:val="0"/>
          <w:bCs w:val="0"/>
          <w:sz w:val="24"/>
          <w:szCs w:val="24"/>
        </w:rPr>
        <w:t>承接企业为</w:t>
      </w:r>
      <w:r>
        <w:rPr>
          <w:rFonts w:hint="eastAsia" w:cs="宋体"/>
          <w:b w:val="0"/>
          <w:bCs w:val="0"/>
          <w:iCs/>
          <w:sz w:val="24"/>
          <w:szCs w:val="24"/>
          <w:u w:val="single"/>
        </w:rPr>
        <w:t>（企业名称）</w:t>
      </w:r>
      <w:r>
        <w:rPr>
          <w:rFonts w:hint="eastAsia" w:cs="宋体"/>
          <w:b w:val="0"/>
          <w:bCs w:val="0"/>
          <w:sz w:val="24"/>
          <w:szCs w:val="24"/>
        </w:rPr>
        <w:t>，从业人员人，营业收入为万元，资产总额为万元，属于</w:t>
      </w:r>
      <w:r>
        <w:rPr>
          <w:rFonts w:hint="eastAsia" w:cs="宋体"/>
          <w:b w:val="0"/>
          <w:bCs w:val="0"/>
          <w:iCs/>
          <w:sz w:val="24"/>
          <w:szCs w:val="24"/>
          <w:u w:val="single"/>
        </w:rPr>
        <w:t>（中型企业、小型企业、微型企业）</w:t>
      </w:r>
      <w:r>
        <w:rPr>
          <w:rFonts w:hint="eastAsia" w:cs="宋体"/>
          <w:b w:val="0"/>
          <w:bCs w:val="0"/>
          <w:sz w:val="24"/>
          <w:szCs w:val="24"/>
        </w:rPr>
        <w:t>，</w:t>
      </w:r>
    </w:p>
    <w:p>
      <w:pPr>
        <w:pStyle w:val="25"/>
        <w:numPr>
          <w:ilvl w:val="0"/>
          <w:numId w:val="3"/>
        </w:numPr>
        <w:spacing w:line="360" w:lineRule="auto"/>
        <w:ind w:firstLine="480"/>
        <w:rPr>
          <w:rFonts w:cs="宋体"/>
          <w:b w:val="0"/>
          <w:bCs w:val="0"/>
          <w:iCs/>
          <w:sz w:val="24"/>
          <w:szCs w:val="24"/>
          <w:u w:val="single"/>
        </w:rPr>
      </w:pPr>
      <w:r>
        <w:rPr>
          <w:rFonts w:hint="eastAsia" w:cs="宋体"/>
          <w:b w:val="0"/>
          <w:bCs w:val="0"/>
          <w:iCs/>
          <w:sz w:val="24"/>
          <w:szCs w:val="24"/>
          <w:u w:val="single"/>
        </w:rPr>
        <w:t>（标的名称）</w:t>
      </w:r>
      <w:r>
        <w:rPr>
          <w:rFonts w:hint="eastAsia" w:cs="宋体"/>
          <w:b w:val="0"/>
          <w:bCs w:val="0"/>
          <w:iCs/>
          <w:sz w:val="24"/>
          <w:szCs w:val="24"/>
        </w:rPr>
        <w:t>，</w:t>
      </w:r>
      <w:r>
        <w:rPr>
          <w:rFonts w:hint="eastAsia" w:cs="宋体"/>
          <w:b w:val="0"/>
          <w:bCs w:val="0"/>
          <w:sz w:val="24"/>
          <w:szCs w:val="24"/>
        </w:rPr>
        <w:t>属于</w:t>
      </w:r>
      <w:r>
        <w:rPr>
          <w:rFonts w:hint="eastAsia" w:cs="宋体"/>
          <w:b w:val="0"/>
          <w:bCs w:val="0"/>
          <w:iCs/>
          <w:sz w:val="24"/>
          <w:szCs w:val="24"/>
          <w:u w:val="single"/>
        </w:rPr>
        <w:t>（所属行业），</w:t>
      </w:r>
      <w:r>
        <w:rPr>
          <w:rFonts w:hint="eastAsia" w:cs="宋体"/>
          <w:b w:val="0"/>
          <w:bCs w:val="0"/>
          <w:sz w:val="24"/>
          <w:szCs w:val="24"/>
        </w:rPr>
        <w:t>承接企业为</w:t>
      </w:r>
      <w:r>
        <w:rPr>
          <w:rFonts w:hint="eastAsia" w:cs="宋体"/>
          <w:b w:val="0"/>
          <w:bCs w:val="0"/>
          <w:iCs/>
          <w:sz w:val="24"/>
          <w:szCs w:val="24"/>
          <w:u w:val="single"/>
        </w:rPr>
        <w:t>（企业名称）</w:t>
      </w:r>
      <w:r>
        <w:rPr>
          <w:rFonts w:hint="eastAsia" w:cs="宋体"/>
          <w:b w:val="0"/>
          <w:bCs w:val="0"/>
          <w:sz w:val="24"/>
          <w:szCs w:val="24"/>
        </w:rPr>
        <w:t>，从业人员人，营业收入为万元，资产总额为万元，属于</w:t>
      </w:r>
      <w:r>
        <w:rPr>
          <w:rFonts w:hint="eastAsia" w:cs="宋体"/>
          <w:b w:val="0"/>
          <w:bCs w:val="0"/>
          <w:iCs/>
          <w:sz w:val="24"/>
          <w:szCs w:val="24"/>
          <w:u w:val="single"/>
        </w:rPr>
        <w:t>（中型企业、小型企业、微型企业）</w:t>
      </w:r>
      <w:r>
        <w:rPr>
          <w:rFonts w:hint="eastAsia" w:cs="宋体"/>
          <w:b w:val="0"/>
          <w:bCs w:val="0"/>
          <w:sz w:val="24"/>
          <w:szCs w:val="24"/>
        </w:rPr>
        <w:t>，</w:t>
      </w:r>
    </w:p>
    <w:p>
      <w:pPr>
        <w:pStyle w:val="25"/>
        <w:spacing w:line="360" w:lineRule="auto"/>
        <w:ind w:firstLine="480"/>
        <w:rPr>
          <w:rFonts w:ascii="Arial" w:hAnsi="Arial" w:cs="Arial"/>
          <w:b w:val="0"/>
          <w:bCs w:val="0"/>
          <w:sz w:val="24"/>
          <w:szCs w:val="24"/>
        </w:rPr>
      </w:pPr>
      <w:r>
        <w:rPr>
          <w:rFonts w:ascii="Arial" w:hAnsi="Arial" w:cs="Arial"/>
          <w:b w:val="0"/>
          <w:bCs w:val="0"/>
          <w:sz w:val="24"/>
          <w:szCs w:val="24"/>
        </w:rPr>
        <w:t>……</w:t>
      </w:r>
    </w:p>
    <w:p>
      <w:pPr>
        <w:pStyle w:val="25"/>
        <w:spacing w:line="360" w:lineRule="auto"/>
        <w:ind w:firstLine="480"/>
        <w:rPr>
          <w:rFonts w:ascii="Arial" w:hAnsi="Arial" w:cs="Arial"/>
          <w:b w:val="0"/>
          <w:bCs w:val="0"/>
          <w:sz w:val="24"/>
          <w:szCs w:val="24"/>
        </w:rPr>
      </w:pPr>
      <w:r>
        <w:rPr>
          <w:rFonts w:hint="eastAsia" w:ascii="Arial" w:hAnsi="Arial" w:cs="Arial"/>
          <w:b w:val="0"/>
          <w:bCs w:val="0"/>
          <w:sz w:val="24"/>
          <w:szCs w:val="24"/>
        </w:rPr>
        <w:t>以上企业，不属于大企业的分支机构，不存在控股股东为大企业的情形，也不存在与大企业的负责人为同一人的情形。</w:t>
      </w:r>
    </w:p>
    <w:p>
      <w:pPr>
        <w:pStyle w:val="25"/>
        <w:spacing w:line="360" w:lineRule="auto"/>
        <w:ind w:firstLine="480"/>
        <w:rPr>
          <w:rFonts w:ascii="Arial" w:hAnsi="Arial" w:cs="Arial"/>
          <w:b w:val="0"/>
          <w:bCs w:val="0"/>
          <w:sz w:val="24"/>
          <w:szCs w:val="24"/>
        </w:rPr>
      </w:pPr>
      <w:r>
        <w:rPr>
          <w:rFonts w:hint="eastAsia" w:ascii="Arial" w:hAnsi="Arial" w:cs="Arial"/>
          <w:b w:val="0"/>
          <w:bCs w:val="0"/>
          <w:sz w:val="24"/>
          <w:szCs w:val="24"/>
        </w:rPr>
        <w:t>本企业对上述声明内容的真实性负责。如有虚假，将依法承担相应责任。</w:t>
      </w:r>
    </w:p>
    <w:p>
      <w:pPr>
        <w:pStyle w:val="25"/>
        <w:spacing w:line="360" w:lineRule="auto"/>
        <w:ind w:firstLine="480"/>
        <w:jc w:val="right"/>
        <w:rPr>
          <w:rFonts w:ascii="Arial" w:hAnsi="Arial" w:cs="Arial"/>
          <w:b w:val="0"/>
          <w:bCs w:val="0"/>
          <w:sz w:val="24"/>
          <w:szCs w:val="24"/>
        </w:rPr>
      </w:pPr>
      <w:r>
        <w:rPr>
          <w:rFonts w:hint="eastAsia" w:ascii="Arial" w:hAnsi="Arial" w:cs="Arial"/>
          <w:b w:val="0"/>
          <w:bCs w:val="0"/>
          <w:sz w:val="24"/>
          <w:szCs w:val="24"/>
        </w:rPr>
        <w:t>企业名称（盖章）</w:t>
      </w:r>
    </w:p>
    <w:p>
      <w:pPr>
        <w:pStyle w:val="25"/>
        <w:spacing w:line="360" w:lineRule="auto"/>
        <w:ind w:firstLine="480"/>
        <w:jc w:val="right"/>
        <w:rPr>
          <w:rFonts w:ascii="Arial" w:hAnsi="Arial" w:cs="Arial"/>
          <w:b w:val="0"/>
          <w:bCs w:val="0"/>
          <w:sz w:val="24"/>
          <w:szCs w:val="24"/>
        </w:rPr>
      </w:pPr>
      <w:r>
        <w:rPr>
          <w:rFonts w:hint="eastAsia" w:ascii="Arial" w:hAnsi="Arial" w:cs="Arial"/>
          <w:b w:val="0"/>
          <w:bCs w:val="0"/>
          <w:sz w:val="24"/>
          <w:szCs w:val="24"/>
        </w:rPr>
        <w:t>日期：</w:t>
      </w:r>
    </w:p>
    <w:p>
      <w:pPr>
        <w:pStyle w:val="25"/>
        <w:ind w:firstLine="0" w:firstLineChars="0"/>
        <w:rPr>
          <w:rFonts w:ascii="Arial" w:hAnsi="Arial" w:cs="Arial"/>
          <w:b w:val="0"/>
          <w:bCs w:val="0"/>
          <w:sz w:val="24"/>
          <w:szCs w:val="24"/>
        </w:rPr>
      </w:pPr>
      <w:r>
        <w:rPr>
          <w:rFonts w:hint="eastAsia" w:ascii="Arial" w:hAnsi="Arial" w:cs="Arial"/>
          <w:b w:val="0"/>
          <w:bCs w:val="0"/>
          <w:sz w:val="24"/>
          <w:szCs w:val="24"/>
        </w:rPr>
        <w:t>1. 从业人员、营业收入、资产总额填报上一年度数据，无上一年度数据的新成立企业可不填报。</w:t>
      </w:r>
    </w:p>
    <w:p>
      <w:pPr>
        <w:pStyle w:val="6"/>
      </w:pPr>
    </w:p>
    <w:p>
      <w:pPr>
        <w:pStyle w:val="5"/>
        <w:jc w:val="center"/>
      </w:pPr>
    </w:p>
    <w:p>
      <w:pPr>
        <w:pStyle w:val="5"/>
        <w:jc w:val="center"/>
      </w:pPr>
    </w:p>
    <w:p>
      <w:pPr>
        <w:pStyle w:val="5"/>
        <w:jc w:val="center"/>
      </w:pPr>
    </w:p>
    <w:p>
      <w:pPr>
        <w:pStyle w:val="5"/>
        <w:jc w:val="center"/>
      </w:pPr>
    </w:p>
    <w:p>
      <w:pPr>
        <w:pStyle w:val="5"/>
        <w:jc w:val="center"/>
      </w:pPr>
    </w:p>
    <w:p>
      <w:pPr>
        <w:pStyle w:val="5"/>
        <w:jc w:val="center"/>
      </w:pPr>
    </w:p>
    <w:p>
      <w:pPr>
        <w:pStyle w:val="5"/>
        <w:jc w:val="center"/>
      </w:pPr>
    </w:p>
    <w:p>
      <w:pPr>
        <w:pStyle w:val="5"/>
        <w:jc w:val="center"/>
      </w:pPr>
    </w:p>
    <w:p/>
    <w:p>
      <w:pPr>
        <w:pStyle w:val="6"/>
      </w:pPr>
    </w:p>
    <w:p>
      <w:pPr>
        <w:pStyle w:val="26"/>
        <w:rPr>
          <w:b/>
          <w:color w:val="auto"/>
          <w:sz w:val="28"/>
          <w:szCs w:val="28"/>
        </w:rPr>
      </w:pPr>
      <w:r>
        <w:rPr>
          <w:b/>
          <w:color w:val="auto"/>
          <w:sz w:val="28"/>
          <w:szCs w:val="28"/>
        </w:rPr>
        <w:t>二、报价部分</w:t>
      </w:r>
    </w:p>
    <w:p>
      <w:pPr>
        <w:pStyle w:val="26"/>
        <w:ind w:firstLine="562" w:firstLineChars="200"/>
        <w:rPr>
          <w:b/>
          <w:color w:val="auto"/>
          <w:sz w:val="28"/>
          <w:szCs w:val="28"/>
        </w:rPr>
      </w:pPr>
      <w:r>
        <w:rPr>
          <w:b/>
          <w:color w:val="auto"/>
          <w:sz w:val="28"/>
          <w:szCs w:val="28"/>
        </w:rPr>
        <w:t>1、磋商响应报价表</w:t>
      </w:r>
    </w:p>
    <w:p>
      <w:pPr>
        <w:pStyle w:val="26"/>
        <w:ind w:firstLine="560" w:firstLineChars="200"/>
        <w:rPr>
          <w:color w:val="auto"/>
          <w:sz w:val="28"/>
          <w:szCs w:val="28"/>
        </w:rPr>
      </w:pPr>
      <w:r>
        <w:rPr>
          <w:color w:val="auto"/>
          <w:sz w:val="28"/>
          <w:szCs w:val="28"/>
        </w:rPr>
        <w:t>1）根据竞争性磋商文件要求可以自行调整，包括但不限于以下内容。</w:t>
      </w:r>
    </w:p>
    <w:p>
      <w:pPr>
        <w:pStyle w:val="26"/>
        <w:spacing w:afterLines="50"/>
        <w:rPr>
          <w:b/>
          <w:color w:val="auto"/>
          <w:sz w:val="28"/>
          <w:szCs w:val="28"/>
        </w:rPr>
      </w:pPr>
      <w:r>
        <w:rPr>
          <w:b/>
          <w:color w:val="auto"/>
          <w:sz w:val="28"/>
          <w:szCs w:val="28"/>
        </w:rPr>
        <w:t>首轮报价表</w:t>
      </w:r>
    </w:p>
    <w:tbl>
      <w:tblPr>
        <w:tblStyle w:val="18"/>
        <w:tblW w:w="9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0"/>
        <w:gridCol w:w="5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3470" w:type="dxa"/>
            <w:noWrap/>
            <w:vAlign w:val="center"/>
          </w:tcPr>
          <w:p>
            <w:pPr>
              <w:autoSpaceDE w:val="0"/>
              <w:autoSpaceDN w:val="0"/>
              <w:adjustRightInd w:val="0"/>
              <w:jc w:val="center"/>
              <w:rPr>
                <w:rFonts w:ascii="宋体" w:hAnsi="宋体" w:cs="宋体"/>
                <w:b/>
                <w:bCs/>
                <w:kern w:val="0"/>
                <w:sz w:val="24"/>
              </w:rPr>
            </w:pPr>
            <w:r>
              <w:rPr>
                <w:rFonts w:ascii="宋体" w:hAnsi="宋体" w:cs="宋体"/>
                <w:b/>
                <w:bCs/>
                <w:kern w:val="0"/>
                <w:sz w:val="24"/>
              </w:rPr>
              <w:t>标题</w:t>
            </w:r>
          </w:p>
        </w:tc>
        <w:tc>
          <w:tcPr>
            <w:tcW w:w="5889" w:type="dxa"/>
            <w:noWrap/>
            <w:vAlign w:val="center"/>
          </w:tcPr>
          <w:p>
            <w:pPr>
              <w:autoSpaceDE w:val="0"/>
              <w:autoSpaceDN w:val="0"/>
              <w:adjustRightInd w:val="0"/>
              <w:jc w:val="center"/>
              <w:rPr>
                <w:rFonts w:ascii="宋体" w:hAnsi="宋体" w:cs="宋体"/>
                <w:kern w:val="0"/>
                <w:sz w:val="24"/>
              </w:rPr>
            </w:pPr>
            <w:r>
              <w:rPr>
                <w:rFonts w:ascii="宋体" w:hAnsi="宋体" w:cs="宋体"/>
                <w:kern w:val="0"/>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3470" w:type="dxa"/>
            <w:noWrap/>
            <w:vAlign w:val="center"/>
          </w:tcPr>
          <w:p>
            <w:pPr>
              <w:autoSpaceDE w:val="0"/>
              <w:autoSpaceDN w:val="0"/>
              <w:adjustRightInd w:val="0"/>
              <w:jc w:val="center"/>
              <w:rPr>
                <w:rFonts w:ascii="宋体" w:hAnsi="宋体" w:cs="宋体"/>
                <w:b/>
                <w:bCs/>
                <w:kern w:val="0"/>
                <w:sz w:val="24"/>
              </w:rPr>
            </w:pPr>
            <w:r>
              <w:rPr>
                <w:rFonts w:ascii="宋体" w:hAnsi="宋体" w:cs="宋体"/>
                <w:b/>
                <w:bCs/>
                <w:kern w:val="0"/>
                <w:sz w:val="24"/>
              </w:rPr>
              <w:t>项目名称</w:t>
            </w:r>
          </w:p>
        </w:tc>
        <w:tc>
          <w:tcPr>
            <w:tcW w:w="5889" w:type="dxa"/>
            <w:noWrap/>
            <w:vAlign w:val="center"/>
          </w:tcPr>
          <w:p>
            <w:pPr>
              <w:autoSpaceDE w:val="0"/>
              <w:autoSpaceDN w:val="0"/>
              <w:adjustRightIn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3470" w:type="dxa"/>
            <w:noWrap/>
            <w:vAlign w:val="center"/>
          </w:tcPr>
          <w:p>
            <w:pPr>
              <w:autoSpaceDE w:val="0"/>
              <w:autoSpaceDN w:val="0"/>
              <w:adjustRightInd w:val="0"/>
              <w:jc w:val="center"/>
              <w:rPr>
                <w:rFonts w:ascii="宋体" w:hAnsi="宋体" w:cs="宋体"/>
                <w:b/>
                <w:bCs/>
                <w:kern w:val="0"/>
                <w:sz w:val="24"/>
              </w:rPr>
            </w:pPr>
            <w:r>
              <w:rPr>
                <w:rFonts w:ascii="宋体" w:hAnsi="宋体" w:cs="宋体"/>
                <w:b/>
                <w:bCs/>
                <w:kern w:val="0"/>
                <w:sz w:val="24"/>
              </w:rPr>
              <w:t>项目编号</w:t>
            </w:r>
          </w:p>
        </w:tc>
        <w:tc>
          <w:tcPr>
            <w:tcW w:w="5889" w:type="dxa"/>
            <w:noWrap/>
            <w:vAlign w:val="center"/>
          </w:tcPr>
          <w:p>
            <w:pPr>
              <w:autoSpaceDE w:val="0"/>
              <w:autoSpaceDN w:val="0"/>
              <w:adjustRightIn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3470" w:type="dxa"/>
            <w:noWrap/>
            <w:vAlign w:val="center"/>
          </w:tcPr>
          <w:p>
            <w:pPr>
              <w:autoSpaceDE w:val="0"/>
              <w:autoSpaceDN w:val="0"/>
              <w:adjustRightInd w:val="0"/>
              <w:jc w:val="center"/>
              <w:rPr>
                <w:rFonts w:ascii="宋体" w:hAnsi="宋体" w:cs="宋体"/>
                <w:b/>
                <w:bCs/>
                <w:kern w:val="0"/>
                <w:sz w:val="24"/>
              </w:rPr>
            </w:pPr>
            <w:r>
              <w:rPr>
                <w:rFonts w:ascii="宋体" w:hAnsi="宋体" w:cs="宋体"/>
                <w:b/>
                <w:bCs/>
                <w:kern w:val="0"/>
                <w:sz w:val="24"/>
              </w:rPr>
              <w:t>投标报价</w:t>
            </w:r>
          </w:p>
        </w:tc>
        <w:tc>
          <w:tcPr>
            <w:tcW w:w="5889" w:type="dxa"/>
            <w:noWrap/>
            <w:vAlign w:val="center"/>
          </w:tcPr>
          <w:p>
            <w:pPr>
              <w:widowControl/>
              <w:wordWrap w:val="0"/>
              <w:spacing w:line="360" w:lineRule="auto"/>
              <w:jc w:val="left"/>
              <w:rPr>
                <w:rFonts w:ascii="宋体" w:hAnsi="宋体" w:cs="Calibri"/>
                <w:kern w:val="0"/>
                <w:sz w:val="24"/>
              </w:rPr>
            </w:pPr>
            <w:r>
              <w:rPr>
                <w:rFonts w:hint="eastAsia" w:ascii="宋体" w:hAnsi="宋体" w:cs="Calibri"/>
                <w:kern w:val="0"/>
                <w:sz w:val="24"/>
              </w:rPr>
              <w:t>大写：</w:t>
            </w:r>
          </w:p>
          <w:p>
            <w:pPr>
              <w:autoSpaceDE w:val="0"/>
              <w:autoSpaceDN w:val="0"/>
              <w:adjustRightInd w:val="0"/>
              <w:spacing w:line="360" w:lineRule="auto"/>
              <w:jc w:val="left"/>
              <w:rPr>
                <w:rFonts w:ascii="宋体" w:hAnsi="宋体" w:cs="宋体"/>
                <w:kern w:val="0"/>
                <w:sz w:val="24"/>
              </w:rPr>
            </w:pPr>
            <w:r>
              <w:rPr>
                <w:rFonts w:hint="eastAsia" w:ascii="宋体" w:hAnsi="宋体" w:cs="Calibri"/>
                <w:kern w:val="0"/>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3470" w:type="dxa"/>
            <w:noWrap/>
            <w:vAlign w:val="center"/>
          </w:tcPr>
          <w:p>
            <w:pPr>
              <w:autoSpaceDE w:val="0"/>
              <w:autoSpaceDN w:val="0"/>
              <w:adjustRightInd w:val="0"/>
              <w:jc w:val="center"/>
              <w:rPr>
                <w:rFonts w:ascii="宋体" w:hAnsi="宋体" w:cs="宋体"/>
                <w:b/>
                <w:bCs/>
                <w:kern w:val="0"/>
                <w:sz w:val="24"/>
              </w:rPr>
            </w:pPr>
            <w:r>
              <w:rPr>
                <w:rFonts w:ascii="宋体" w:hAnsi="宋体" w:cs="宋体"/>
                <w:b/>
                <w:bCs/>
                <w:kern w:val="0"/>
                <w:sz w:val="24"/>
              </w:rPr>
              <w:t>服务期限</w:t>
            </w:r>
          </w:p>
        </w:tc>
        <w:tc>
          <w:tcPr>
            <w:tcW w:w="5889" w:type="dxa"/>
            <w:noWrap/>
            <w:vAlign w:val="center"/>
          </w:tcPr>
          <w:p>
            <w:pPr>
              <w:autoSpaceDE w:val="0"/>
              <w:autoSpaceDN w:val="0"/>
              <w:adjustRightIn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470" w:type="dxa"/>
            <w:noWrap/>
            <w:vAlign w:val="center"/>
          </w:tcPr>
          <w:p>
            <w:pPr>
              <w:autoSpaceDE w:val="0"/>
              <w:autoSpaceDN w:val="0"/>
              <w:adjustRightInd w:val="0"/>
              <w:jc w:val="center"/>
              <w:rPr>
                <w:rFonts w:ascii="宋体" w:hAnsi="宋体" w:cs="宋体"/>
                <w:b/>
                <w:bCs/>
                <w:kern w:val="0"/>
                <w:sz w:val="24"/>
              </w:rPr>
            </w:pPr>
            <w:r>
              <w:rPr>
                <w:rFonts w:hint="eastAsia" w:ascii="宋体" w:hAnsi="宋体" w:cs="宋体"/>
                <w:b/>
                <w:bCs/>
                <w:kern w:val="0"/>
                <w:sz w:val="24"/>
              </w:rPr>
              <w:t>备注</w:t>
            </w:r>
          </w:p>
        </w:tc>
        <w:tc>
          <w:tcPr>
            <w:tcW w:w="5889" w:type="dxa"/>
            <w:noWrap/>
            <w:vAlign w:val="center"/>
          </w:tcPr>
          <w:p>
            <w:pPr>
              <w:autoSpaceDE w:val="0"/>
              <w:autoSpaceDN w:val="0"/>
              <w:adjustRightInd w:val="0"/>
              <w:spacing w:line="360" w:lineRule="auto"/>
              <w:jc w:val="left"/>
              <w:rPr>
                <w:rFonts w:ascii="宋体" w:hAnsi="宋体"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359" w:type="dxa"/>
            <w:gridSpan w:val="2"/>
            <w:noWrap/>
            <w:vAlign w:val="center"/>
          </w:tcPr>
          <w:p>
            <w:pPr>
              <w:widowControl/>
              <w:jc w:val="left"/>
              <w:rPr>
                <w:rFonts w:ascii="宋体" w:hAnsi="宋体" w:cs="宋体"/>
                <w:sz w:val="24"/>
              </w:rPr>
            </w:pPr>
            <w:r>
              <w:rPr>
                <w:rFonts w:hint="eastAsia" w:ascii="宋体" w:hAnsi="宋体" w:cs="宋体"/>
                <w:sz w:val="24"/>
              </w:rPr>
              <w:t>其他说明：</w:t>
            </w:r>
          </w:p>
          <w:p>
            <w:pPr>
              <w:autoSpaceDE w:val="0"/>
              <w:autoSpaceDN w:val="0"/>
              <w:adjustRightInd w:val="0"/>
              <w:spacing w:line="360" w:lineRule="auto"/>
              <w:jc w:val="left"/>
              <w:rPr>
                <w:rFonts w:ascii="宋体" w:hAnsi="宋体" w:cs="宋体"/>
                <w:b/>
                <w:bCs/>
                <w:kern w:val="0"/>
                <w:sz w:val="24"/>
              </w:rPr>
            </w:pPr>
            <w:r>
              <w:rPr>
                <w:rFonts w:hint="eastAsia" w:ascii="宋体" w:hAnsi="宋体" w:cs="宋体"/>
                <w:sz w:val="24"/>
              </w:rPr>
              <w:t>1、投标报价包括现场调查、编制、评审、后期服务、各项措施费用以及风险费用、管理费、利润、税金等所需的一切费用。</w:t>
            </w:r>
          </w:p>
        </w:tc>
      </w:tr>
    </w:tbl>
    <w:p>
      <w:pPr>
        <w:pStyle w:val="26"/>
        <w:ind w:firstLine="560" w:firstLineChars="200"/>
        <w:rPr>
          <w:color w:val="auto"/>
          <w:sz w:val="28"/>
          <w:szCs w:val="28"/>
        </w:rPr>
      </w:pPr>
    </w:p>
    <w:p>
      <w:pPr>
        <w:pStyle w:val="26"/>
        <w:ind w:firstLine="560" w:firstLineChars="200"/>
        <w:rPr>
          <w:color w:val="auto"/>
          <w:sz w:val="28"/>
          <w:szCs w:val="28"/>
        </w:rPr>
      </w:pPr>
      <w:r>
        <w:rPr>
          <w:color w:val="auto"/>
          <w:sz w:val="28"/>
          <w:szCs w:val="28"/>
        </w:rPr>
        <w:t>供应商</w:t>
      </w:r>
      <w:r>
        <w:rPr>
          <w:rFonts w:hint="eastAsia"/>
          <w:color w:val="auto"/>
          <w:sz w:val="28"/>
          <w:szCs w:val="28"/>
        </w:rPr>
        <w:t>盖</w:t>
      </w:r>
      <w:r>
        <w:rPr>
          <w:color w:val="auto"/>
          <w:sz w:val="28"/>
          <w:szCs w:val="28"/>
        </w:rPr>
        <w:t>章：</w:t>
      </w:r>
    </w:p>
    <w:p>
      <w:pPr>
        <w:pStyle w:val="26"/>
        <w:ind w:firstLine="560" w:firstLineChars="200"/>
        <w:rPr>
          <w:color w:val="auto"/>
          <w:sz w:val="28"/>
          <w:szCs w:val="28"/>
        </w:rPr>
      </w:pPr>
      <w:r>
        <w:rPr>
          <w:color w:val="auto"/>
          <w:sz w:val="28"/>
          <w:szCs w:val="28"/>
        </w:rPr>
        <w:t>日期：________________</w:t>
      </w:r>
    </w:p>
    <w:p>
      <w:pPr>
        <w:jc w:val="center"/>
        <w:rPr>
          <w:rFonts w:ascii="宋体" w:hAnsi="宋体"/>
          <w:b/>
          <w:bCs/>
          <w:sz w:val="28"/>
          <w:szCs w:val="28"/>
        </w:rPr>
      </w:pPr>
      <w:r>
        <w:rPr>
          <w:rFonts w:hint="eastAsia" w:ascii="宋体" w:hAnsi="宋体" w:cs="宋体"/>
          <w:bCs/>
          <w:kern w:val="0"/>
          <w:sz w:val="24"/>
        </w:rPr>
        <w:br w:type="page"/>
      </w:r>
      <w:r>
        <w:rPr>
          <w:rFonts w:hint="eastAsia" w:ascii="宋体" w:hAnsi="宋体" w:cs="宋体"/>
          <w:b/>
          <w:bCs/>
          <w:sz w:val="28"/>
          <w:szCs w:val="28"/>
        </w:rPr>
        <w:t>磋商响应最终报价表</w:t>
      </w:r>
    </w:p>
    <w:p>
      <w:pPr>
        <w:pStyle w:val="22"/>
        <w:spacing w:line="360" w:lineRule="auto"/>
        <w:rPr>
          <w:rFonts w:ascii="宋体" w:hAnsi="宋体" w:cs="仿宋_GB2312"/>
          <w:b/>
        </w:rPr>
      </w:pPr>
      <w:r>
        <w:rPr>
          <w:rFonts w:hint="eastAsia" w:ascii="宋体" w:hAnsi="宋体" w:cs="仿宋_GB2312"/>
          <w:b/>
          <w:sz w:val="24"/>
        </w:rPr>
        <w:t>（此表由磋商响应供应商手持，不密封在磋商响应文件中。在磋商时现场填写）</w:t>
      </w:r>
    </w:p>
    <w:tbl>
      <w:tblPr>
        <w:tblStyle w:val="18"/>
        <w:tblW w:w="8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3"/>
        <w:gridCol w:w="6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1" w:hRule="atLeast"/>
          <w:jc w:val="center"/>
        </w:trPr>
        <w:tc>
          <w:tcPr>
            <w:tcW w:w="272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b/>
                <w:bCs/>
                <w:sz w:val="24"/>
              </w:rPr>
            </w:pPr>
            <w:r>
              <w:rPr>
                <w:rFonts w:hint="eastAsia" w:ascii="宋体" w:hAnsi="宋体" w:cs="宋体"/>
                <w:b/>
                <w:bCs/>
                <w:sz w:val="24"/>
              </w:rPr>
              <w:t>项目名称</w:t>
            </w:r>
          </w:p>
        </w:tc>
        <w:tc>
          <w:tcPr>
            <w:tcW w:w="6057" w:type="dxa"/>
            <w:tcBorders>
              <w:top w:val="single" w:color="auto" w:sz="4" w:space="0"/>
              <w:left w:val="single" w:color="auto" w:sz="4" w:space="0"/>
              <w:bottom w:val="single" w:color="auto" w:sz="4" w:space="0"/>
              <w:right w:val="single" w:color="auto" w:sz="4" w:space="0"/>
            </w:tcBorders>
            <w:noWrap/>
            <w:vAlign w:val="center"/>
          </w:tcPr>
          <w:p>
            <w:pPr>
              <w:pStyle w:val="12"/>
              <w:snapToGrid w:val="0"/>
              <w:spacing w:line="360" w:lineRule="auto"/>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6" w:hRule="atLeast"/>
          <w:jc w:val="center"/>
        </w:trPr>
        <w:tc>
          <w:tcPr>
            <w:tcW w:w="272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b/>
                <w:bCs/>
                <w:sz w:val="24"/>
              </w:rPr>
            </w:pPr>
            <w:r>
              <w:rPr>
                <w:rFonts w:hint="eastAsia" w:ascii="宋体" w:hAnsi="宋体" w:cs="宋体"/>
                <w:b/>
                <w:bCs/>
                <w:sz w:val="24"/>
              </w:rPr>
              <w:t>项目编号</w:t>
            </w:r>
          </w:p>
        </w:tc>
        <w:tc>
          <w:tcPr>
            <w:tcW w:w="6057" w:type="dxa"/>
            <w:tcBorders>
              <w:top w:val="single" w:color="auto" w:sz="4" w:space="0"/>
              <w:left w:val="single" w:color="auto" w:sz="4" w:space="0"/>
              <w:bottom w:val="single" w:color="auto" w:sz="4" w:space="0"/>
              <w:right w:val="single" w:color="auto" w:sz="4" w:space="0"/>
            </w:tcBorders>
            <w:noWrap/>
            <w:vAlign w:val="center"/>
          </w:tcPr>
          <w:p>
            <w:pPr>
              <w:pStyle w:val="12"/>
              <w:snapToGrid w:val="0"/>
              <w:spacing w:line="360" w:lineRule="auto"/>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atLeast"/>
          <w:jc w:val="center"/>
        </w:trPr>
        <w:tc>
          <w:tcPr>
            <w:tcW w:w="272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b/>
                <w:bCs/>
                <w:sz w:val="24"/>
              </w:rPr>
            </w:pPr>
            <w:r>
              <w:rPr>
                <w:rFonts w:hint="eastAsia" w:ascii="宋体" w:hAnsi="宋体" w:cs="宋体"/>
                <w:b/>
                <w:bCs/>
                <w:sz w:val="24"/>
              </w:rPr>
              <w:t>投标报价</w:t>
            </w:r>
          </w:p>
        </w:tc>
        <w:tc>
          <w:tcPr>
            <w:tcW w:w="6057" w:type="dxa"/>
            <w:tcBorders>
              <w:top w:val="single" w:color="auto" w:sz="4" w:space="0"/>
              <w:left w:val="single" w:color="auto" w:sz="4" w:space="0"/>
              <w:bottom w:val="single" w:color="auto" w:sz="4" w:space="0"/>
              <w:right w:val="single" w:color="auto" w:sz="4" w:space="0"/>
            </w:tcBorders>
            <w:noWrap/>
            <w:vAlign w:val="center"/>
          </w:tcPr>
          <w:p>
            <w:pPr>
              <w:widowControl/>
              <w:wordWrap w:val="0"/>
              <w:jc w:val="left"/>
              <w:rPr>
                <w:rFonts w:ascii="宋体" w:hAnsi="宋体" w:cs="Calibri"/>
                <w:kern w:val="0"/>
                <w:sz w:val="24"/>
              </w:rPr>
            </w:pPr>
            <w:r>
              <w:rPr>
                <w:rFonts w:hint="eastAsia" w:ascii="宋体" w:hAnsi="宋体" w:cs="Calibri"/>
                <w:kern w:val="0"/>
                <w:sz w:val="24"/>
              </w:rPr>
              <w:t>大写：</w:t>
            </w:r>
          </w:p>
          <w:p>
            <w:pPr>
              <w:widowControl/>
              <w:wordWrap w:val="0"/>
              <w:jc w:val="left"/>
              <w:rPr>
                <w:rFonts w:ascii="宋体" w:hAnsi="宋体" w:cs="Calibri"/>
                <w:kern w:val="0"/>
                <w:sz w:val="24"/>
              </w:rPr>
            </w:pPr>
            <w:r>
              <w:rPr>
                <w:rFonts w:hint="eastAsia" w:ascii="宋体" w:hAnsi="宋体" w:cs="Calibri"/>
                <w:kern w:val="0"/>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9" w:hRule="atLeast"/>
          <w:jc w:val="center"/>
        </w:trPr>
        <w:tc>
          <w:tcPr>
            <w:tcW w:w="272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b/>
                <w:bCs/>
                <w:sz w:val="24"/>
              </w:rPr>
            </w:pPr>
            <w:r>
              <w:rPr>
                <w:rFonts w:hint="eastAsia" w:ascii="宋体" w:hAnsi="宋体" w:cs="宋体"/>
                <w:b/>
                <w:bCs/>
                <w:sz w:val="24"/>
              </w:rPr>
              <w:t>服务期</w:t>
            </w:r>
          </w:p>
        </w:tc>
        <w:tc>
          <w:tcPr>
            <w:tcW w:w="6057" w:type="dxa"/>
            <w:tcBorders>
              <w:top w:val="single" w:color="auto" w:sz="4" w:space="0"/>
              <w:left w:val="single" w:color="auto" w:sz="4" w:space="0"/>
              <w:bottom w:val="single" w:color="auto" w:sz="4" w:space="0"/>
              <w:right w:val="single" w:color="auto" w:sz="4" w:space="0"/>
            </w:tcBorders>
            <w:noWrap/>
            <w:vAlign w:val="center"/>
          </w:tcPr>
          <w:p>
            <w:pPr>
              <w:widowControl/>
              <w:wordWrap w:val="0"/>
              <w:jc w:val="left"/>
              <w:rPr>
                <w:rFonts w:ascii="宋体" w:hAnsi="宋体" w:cs="Calibri"/>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2" w:hRule="atLeast"/>
          <w:jc w:val="center"/>
        </w:trPr>
        <w:tc>
          <w:tcPr>
            <w:tcW w:w="2723"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jc w:val="center"/>
              <w:rPr>
                <w:rFonts w:ascii="宋体" w:hAnsi="宋体" w:cs="宋体"/>
                <w:b/>
                <w:bCs/>
                <w:kern w:val="0"/>
                <w:sz w:val="24"/>
              </w:rPr>
            </w:pPr>
            <w:r>
              <w:rPr>
                <w:rFonts w:hint="eastAsia" w:ascii="宋体" w:hAnsi="宋体" w:cs="宋体"/>
                <w:b/>
                <w:bCs/>
                <w:kern w:val="0"/>
                <w:sz w:val="24"/>
              </w:rPr>
              <w:t>备注</w:t>
            </w:r>
          </w:p>
        </w:tc>
        <w:tc>
          <w:tcPr>
            <w:tcW w:w="6057"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360" w:lineRule="auto"/>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2" w:hRule="atLeast"/>
          <w:jc w:val="center"/>
        </w:trPr>
        <w:tc>
          <w:tcPr>
            <w:tcW w:w="8780"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sz w:val="24"/>
              </w:rPr>
            </w:pPr>
            <w:r>
              <w:rPr>
                <w:rFonts w:hint="eastAsia" w:ascii="宋体" w:hAnsi="宋体" w:cs="宋体"/>
                <w:sz w:val="24"/>
              </w:rPr>
              <w:t>其他说明：</w:t>
            </w:r>
          </w:p>
          <w:p>
            <w:pPr>
              <w:autoSpaceDE w:val="0"/>
              <w:autoSpaceDN w:val="0"/>
              <w:adjustRightInd w:val="0"/>
              <w:spacing w:line="360" w:lineRule="auto"/>
              <w:jc w:val="left"/>
              <w:rPr>
                <w:rFonts w:ascii="宋体" w:hAnsi="宋体" w:cs="宋体"/>
                <w:kern w:val="0"/>
                <w:sz w:val="24"/>
              </w:rPr>
            </w:pPr>
            <w:r>
              <w:rPr>
                <w:rFonts w:hint="eastAsia" w:ascii="宋体" w:hAnsi="宋体" w:cs="宋体"/>
                <w:sz w:val="24"/>
              </w:rPr>
              <w:t>1、投标报价包括现场调查、编制、评审、后期服务、各项措施费用以及风险费用、管理费、利润、税金等所需的一切费用。</w:t>
            </w:r>
          </w:p>
        </w:tc>
      </w:tr>
    </w:tbl>
    <w:p>
      <w:pPr>
        <w:jc w:val="left"/>
        <w:rPr>
          <w:rFonts w:ascii="宋体" w:hAnsi="宋体"/>
          <w:sz w:val="28"/>
          <w:szCs w:val="28"/>
          <w:u w:val="single"/>
        </w:rPr>
      </w:pPr>
    </w:p>
    <w:p>
      <w:pPr>
        <w:pStyle w:val="15"/>
        <w:tabs>
          <w:tab w:val="right" w:leader="dot" w:pos="9345"/>
        </w:tabs>
        <w:rPr>
          <w:rFonts w:ascii="宋体" w:hAnsi="宋体"/>
          <w:sz w:val="28"/>
          <w:szCs w:val="28"/>
          <w:u w:val="single"/>
        </w:rPr>
      </w:pPr>
    </w:p>
    <w:p/>
    <w:p>
      <w:pPr>
        <w:pStyle w:val="26"/>
        <w:ind w:firstLine="560" w:firstLineChars="200"/>
        <w:rPr>
          <w:color w:val="auto"/>
          <w:sz w:val="28"/>
          <w:szCs w:val="28"/>
        </w:rPr>
      </w:pPr>
      <w:r>
        <w:rPr>
          <w:color w:val="auto"/>
          <w:sz w:val="28"/>
          <w:szCs w:val="28"/>
        </w:rPr>
        <w:t>供应商</w:t>
      </w:r>
      <w:r>
        <w:rPr>
          <w:rFonts w:hint="eastAsia"/>
          <w:color w:val="auto"/>
          <w:sz w:val="28"/>
          <w:szCs w:val="28"/>
        </w:rPr>
        <w:t>盖</w:t>
      </w:r>
      <w:r>
        <w:rPr>
          <w:color w:val="auto"/>
          <w:sz w:val="28"/>
          <w:szCs w:val="28"/>
        </w:rPr>
        <w:t>章：</w:t>
      </w:r>
    </w:p>
    <w:p>
      <w:pPr>
        <w:pStyle w:val="26"/>
        <w:ind w:firstLine="560" w:firstLineChars="200"/>
        <w:rPr>
          <w:color w:val="auto"/>
          <w:sz w:val="28"/>
          <w:szCs w:val="28"/>
        </w:rPr>
      </w:pPr>
      <w:r>
        <w:rPr>
          <w:color w:val="auto"/>
          <w:sz w:val="28"/>
          <w:szCs w:val="28"/>
        </w:rPr>
        <w:t>日期：________________</w:t>
      </w:r>
    </w:p>
    <w:p>
      <w:pPr>
        <w:pStyle w:val="28"/>
        <w:ind w:firstLine="420"/>
      </w:pPr>
    </w:p>
    <w:p/>
    <w:sectPr>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974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57835" cy="197485"/>
                      </a:xfrm>
                      <a:prstGeom prst="rect">
                        <a:avLst/>
                      </a:prstGeom>
                      <a:noFill/>
                      <a:ln w="15875">
                        <a:noFill/>
                      </a:ln>
                      <a:effectLst/>
                    </wps:spPr>
                    <wps:txbx>
                      <w:txbxContent>
                        <w:p>
                          <w:pPr>
                            <w:pStyle w:val="13"/>
                            <w:rPr>
                              <w:rStyle w:val="21"/>
                              <w:sz w:val="24"/>
                              <w:szCs w:val="24"/>
                            </w:rPr>
                          </w:pPr>
                          <w:r>
                            <w:rPr>
                              <w:rStyle w:val="21"/>
                              <w:rFonts w:hint="eastAsia"/>
                              <w:sz w:val="24"/>
                              <w:szCs w:val="24"/>
                            </w:rPr>
                            <w:t>－</w:t>
                          </w:r>
                          <w:r>
                            <w:rPr>
                              <w:rStyle w:val="21"/>
                              <w:sz w:val="24"/>
                              <w:szCs w:val="24"/>
                            </w:rPr>
                            <w:fldChar w:fldCharType="begin"/>
                          </w:r>
                          <w:r>
                            <w:rPr>
                              <w:rStyle w:val="21"/>
                              <w:sz w:val="24"/>
                              <w:szCs w:val="24"/>
                            </w:rPr>
                            <w:instrText xml:space="preserve">PAGE  </w:instrText>
                          </w:r>
                          <w:r>
                            <w:rPr>
                              <w:rStyle w:val="21"/>
                              <w:sz w:val="24"/>
                              <w:szCs w:val="24"/>
                            </w:rPr>
                            <w:fldChar w:fldCharType="separate"/>
                          </w:r>
                          <w:r>
                            <w:rPr>
                              <w:rStyle w:val="21"/>
                              <w:sz w:val="24"/>
                              <w:szCs w:val="24"/>
                            </w:rPr>
                            <w:t>8</w:t>
                          </w:r>
                          <w:r>
                            <w:rPr>
                              <w:rStyle w:val="21"/>
                              <w:sz w:val="24"/>
                              <w:szCs w:val="24"/>
                            </w:rPr>
                            <w:fldChar w:fldCharType="end"/>
                          </w:r>
                          <w:r>
                            <w:rPr>
                              <w:rStyle w:val="21"/>
                              <w:rFonts w:hint="eastAsia"/>
                              <w:sz w:val="24"/>
                              <w:szCs w:val="24"/>
                            </w:rPr>
                            <w:t>－</w:t>
                          </w:r>
                        </w:p>
                      </w:txbxContent>
                    </wps:txbx>
                    <wps:bodyPr wrap="none" lIns="0" tIns="0" rIns="0" bIns="0">
                      <a:spAutoFit/>
                    </wps:bodyPr>
                  </wps:wsp>
                </a:graphicData>
              </a:graphic>
            </wp:anchor>
          </w:drawing>
        </mc:Choice>
        <mc:Fallback>
          <w:pict>
            <v:shape id="_x0000_s1026" o:spid="_x0000_s1026" o:spt="202" type="#_x0000_t202" style="position:absolute;left:0pt;margin-top:0pt;height:15.55pt;width:36.05pt;mso-position-horizontal:center;mso-position-horizontal-relative:margin;mso-wrap-style:none;z-index:251659264;mso-width-relative:page;mso-height-relative:page;" filled="f" stroked="f" coordsize="21600,21600" o:gfxdata="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B9A3jUAAAAAwEAAA8AAAAAAAAAAQAgAAAA&#10;IgAAAGRycy9kb3ducmV2LnhtbFBLAQIUABQAAAAIAIdO4kCPTmud1gEAAKMDAAAOAAAAAAAAAAEA&#10;IAAAACMBAABkcnMvZTJvRG9jLnhtbFBLBQYAAAAABgAGAFkBAABrBQAAAAA=&#10;">
              <v:fill on="f" focussize="0,0"/>
              <v:stroke on="f" weight="1.25pt"/>
              <v:imagedata o:title=""/>
              <o:lock v:ext="edit" aspectratio="f"/>
              <v:textbox inset="0mm,0mm,0mm,0mm" style="mso-fit-shape-to-text:t;">
                <w:txbxContent>
                  <w:p>
                    <w:pPr>
                      <w:pStyle w:val="13"/>
                      <w:rPr>
                        <w:rStyle w:val="21"/>
                        <w:sz w:val="24"/>
                        <w:szCs w:val="24"/>
                      </w:rPr>
                    </w:pPr>
                    <w:r>
                      <w:rPr>
                        <w:rStyle w:val="21"/>
                        <w:rFonts w:hint="eastAsia"/>
                        <w:sz w:val="24"/>
                        <w:szCs w:val="24"/>
                      </w:rPr>
                      <w:t>－</w:t>
                    </w:r>
                    <w:r>
                      <w:rPr>
                        <w:rStyle w:val="21"/>
                        <w:sz w:val="24"/>
                        <w:szCs w:val="24"/>
                      </w:rPr>
                      <w:fldChar w:fldCharType="begin"/>
                    </w:r>
                    <w:r>
                      <w:rPr>
                        <w:rStyle w:val="21"/>
                        <w:sz w:val="24"/>
                        <w:szCs w:val="24"/>
                      </w:rPr>
                      <w:instrText xml:space="preserve">PAGE  </w:instrText>
                    </w:r>
                    <w:r>
                      <w:rPr>
                        <w:rStyle w:val="21"/>
                        <w:sz w:val="24"/>
                        <w:szCs w:val="24"/>
                      </w:rPr>
                      <w:fldChar w:fldCharType="separate"/>
                    </w:r>
                    <w:r>
                      <w:rPr>
                        <w:rStyle w:val="21"/>
                        <w:sz w:val="24"/>
                        <w:szCs w:val="24"/>
                      </w:rPr>
                      <w:t>8</w:t>
                    </w:r>
                    <w:r>
                      <w:rPr>
                        <w:rStyle w:val="21"/>
                        <w:sz w:val="24"/>
                        <w:szCs w:val="24"/>
                      </w:rPr>
                      <w:fldChar w:fldCharType="end"/>
                    </w:r>
                    <w:r>
                      <w:rPr>
                        <w:rStyle w:val="21"/>
                        <w:rFonts w:hint="eastAsia"/>
                        <w:sz w:val="24"/>
                        <w:szCs w:val="24"/>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4DBB9F"/>
    <w:multiLevelType w:val="singleLevel"/>
    <w:tmpl w:val="BB4DBB9F"/>
    <w:lvl w:ilvl="0" w:tentative="0">
      <w:start w:val="1"/>
      <w:numFmt w:val="decimal"/>
      <w:lvlText w:val="%1."/>
      <w:lvlJc w:val="left"/>
      <w:pPr>
        <w:tabs>
          <w:tab w:val="left" w:pos="312"/>
        </w:tabs>
      </w:pPr>
    </w:lvl>
  </w:abstractNum>
  <w:abstractNum w:abstractNumId="1">
    <w:nsid w:val="CF092B84"/>
    <w:multiLevelType w:val="singleLevel"/>
    <w:tmpl w:val="CF092B84"/>
    <w:lvl w:ilvl="0" w:tentative="0">
      <w:start w:val="3"/>
      <w:numFmt w:val="decimal"/>
      <w:suff w:val="nothing"/>
      <w:lvlText w:val="%1、"/>
      <w:lvlJc w:val="left"/>
    </w:lvl>
  </w:abstractNum>
  <w:abstractNum w:abstractNumId="2">
    <w:nsid w:val="5C9D47E0"/>
    <w:multiLevelType w:val="multilevel"/>
    <w:tmpl w:val="5C9D47E0"/>
    <w:lvl w:ilvl="0" w:tentative="0">
      <w:start w:val="1"/>
      <w:numFmt w:val="japaneseCounting"/>
      <w:lvlText w:val="第%1章"/>
      <w:lvlJc w:val="left"/>
      <w:pPr>
        <w:tabs>
          <w:tab w:val="left" w:pos="1275"/>
        </w:tabs>
        <w:ind w:left="1275" w:hanging="127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0MDJlOTliNTdkYWVhODE0YzlhOGExNDFjYTM5YzEifQ=="/>
  </w:docVars>
  <w:rsids>
    <w:rsidRoot w:val="126D11DC"/>
    <w:rsid w:val="000D2A67"/>
    <w:rsid w:val="00126063"/>
    <w:rsid w:val="002550C5"/>
    <w:rsid w:val="002A78AF"/>
    <w:rsid w:val="00590150"/>
    <w:rsid w:val="005F53BA"/>
    <w:rsid w:val="006A1BBE"/>
    <w:rsid w:val="007440D1"/>
    <w:rsid w:val="007D30BB"/>
    <w:rsid w:val="007F0C50"/>
    <w:rsid w:val="008C3CF9"/>
    <w:rsid w:val="0092694A"/>
    <w:rsid w:val="009F32A9"/>
    <w:rsid w:val="00A946A2"/>
    <w:rsid w:val="00AC1374"/>
    <w:rsid w:val="00D92708"/>
    <w:rsid w:val="00DD13B4"/>
    <w:rsid w:val="00E60F5C"/>
    <w:rsid w:val="00F31592"/>
    <w:rsid w:val="00F915A6"/>
    <w:rsid w:val="126D11DC"/>
    <w:rsid w:val="1BF224CF"/>
    <w:rsid w:val="20DE7FB1"/>
    <w:rsid w:val="323F10FE"/>
    <w:rsid w:val="69934D1F"/>
    <w:rsid w:val="6F06208E"/>
    <w:rsid w:val="786E75F8"/>
    <w:rsid w:val="7A066F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99"/>
    <w:pPr>
      <w:keepNext/>
      <w:keepLines/>
      <w:spacing w:line="413" w:lineRule="auto"/>
      <w:outlineLvl w:val="1"/>
    </w:pPr>
    <w:rPr>
      <w:rFonts w:ascii="Arial" w:hAnsi="Arial" w:eastAsia="黑体"/>
      <w:b/>
      <w:sz w:val="32"/>
    </w:rPr>
  </w:style>
  <w:style w:type="paragraph" w:styleId="5">
    <w:name w:val="heading 4"/>
    <w:basedOn w:val="1"/>
    <w:next w:val="1"/>
    <w:unhideWhenUsed/>
    <w:qFormat/>
    <w:uiPriority w:val="0"/>
    <w:pPr>
      <w:keepNext/>
      <w:keepLines/>
      <w:spacing w:line="360" w:lineRule="auto"/>
      <w:jc w:val="left"/>
      <w:outlineLvl w:val="3"/>
    </w:pPr>
    <w:rPr>
      <w:rFonts w:ascii="宋体" w:hAnsi="宋体" w:cs="宋体"/>
      <w:b/>
      <w:bCs/>
      <w:sz w:val="24"/>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99"/>
    <w:pPr>
      <w:autoSpaceDE w:val="0"/>
      <w:autoSpaceDN w:val="0"/>
      <w:ind w:firstLine="200" w:firstLineChars="200"/>
      <w:jc w:val="both"/>
    </w:pPr>
    <w:rPr>
      <w:rFonts w:ascii="宋体" w:hAnsi="Times New Roman" w:eastAsia="Times New Roman" w:cs="Times New Roman"/>
      <w:sz w:val="21"/>
      <w:lang w:val="en-US" w:eastAsia="zh-CN" w:bidi="ar-SA"/>
    </w:rPr>
  </w:style>
  <w:style w:type="paragraph" w:styleId="6">
    <w:name w:val="Body Text"/>
    <w:basedOn w:val="1"/>
    <w:next w:val="7"/>
    <w:qFormat/>
    <w:uiPriority w:val="99"/>
    <w:pPr>
      <w:jc w:val="left"/>
    </w:pPr>
    <w:rPr>
      <w:rFonts w:ascii="Arial" w:hAnsi="Arial" w:eastAsia="黑体" w:cs="Arial"/>
      <w:b/>
      <w:bCs/>
      <w:sz w:val="32"/>
      <w:szCs w:val="32"/>
    </w:rPr>
  </w:style>
  <w:style w:type="paragraph" w:customStyle="1" w:styleId="7">
    <w:name w:val="_Style 2"/>
    <w:basedOn w:val="1"/>
    <w:next w:val="1"/>
    <w:qFormat/>
    <w:uiPriority w:val="0"/>
    <w:pPr>
      <w:ind w:firstLine="420" w:firstLineChars="200"/>
    </w:pPr>
  </w:style>
  <w:style w:type="paragraph" w:styleId="8">
    <w:name w:val="Body Text Indent"/>
    <w:basedOn w:val="9"/>
    <w:next w:val="10"/>
    <w:qFormat/>
    <w:uiPriority w:val="99"/>
    <w:pPr>
      <w:ind w:firstLine="630"/>
    </w:pPr>
    <w:rPr>
      <w:sz w:val="32"/>
      <w:szCs w:val="20"/>
    </w:rPr>
  </w:style>
  <w:style w:type="paragraph" w:customStyle="1" w:styleId="9">
    <w:name w:val="正文1"/>
    <w:qFormat/>
    <w:uiPriority w:val="99"/>
    <w:pPr>
      <w:widowControl w:val="0"/>
      <w:spacing w:line="360" w:lineRule="auto"/>
      <w:jc w:val="both"/>
    </w:pPr>
    <w:rPr>
      <w:rFonts w:ascii="宋体" w:hAnsi="宋体" w:eastAsia="宋体" w:cs="宋体"/>
      <w:sz w:val="21"/>
      <w:szCs w:val="21"/>
      <w:lang w:val="en-US" w:eastAsia="zh-CN" w:bidi="ar-SA"/>
    </w:rPr>
  </w:style>
  <w:style w:type="paragraph" w:styleId="10">
    <w:name w:val="envelope return"/>
    <w:basedOn w:val="1"/>
    <w:qFormat/>
    <w:uiPriority w:val="99"/>
    <w:pPr>
      <w:snapToGrid w:val="0"/>
    </w:pPr>
    <w:rPr>
      <w:rFonts w:ascii="Arial" w:hAnsi="Arial"/>
    </w:rPr>
  </w:style>
  <w:style w:type="paragraph" w:styleId="11">
    <w:name w:val="Plain Text"/>
    <w:basedOn w:val="1"/>
    <w:link w:val="31"/>
    <w:qFormat/>
    <w:uiPriority w:val="0"/>
    <w:rPr>
      <w:rFonts w:ascii="宋体" w:hAnsi="Courier New"/>
      <w:szCs w:val="20"/>
    </w:rPr>
  </w:style>
  <w:style w:type="paragraph" w:styleId="12">
    <w:name w:val="Date"/>
    <w:basedOn w:val="1"/>
    <w:next w:val="1"/>
    <w:qFormat/>
    <w:uiPriority w:val="0"/>
    <w:rPr>
      <w:rFonts w:ascii="仿宋_GB2312" w:eastAsia="仿宋_GB2312"/>
      <w:sz w:val="30"/>
      <w:szCs w:val="20"/>
      <w:lang w:bidi="he-IL"/>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semiHidden/>
    <w:qFormat/>
    <w:uiPriority w:val="99"/>
  </w:style>
  <w:style w:type="paragraph" w:styleId="16">
    <w:name w:val="Normal (Web)"/>
    <w:basedOn w:val="1"/>
    <w:qFormat/>
    <w:uiPriority w:val="0"/>
    <w:rPr>
      <w:rFonts w:cs="Calibri"/>
      <w:sz w:val="24"/>
    </w:rPr>
  </w:style>
  <w:style w:type="paragraph" w:styleId="17">
    <w:name w:val="Body Text First Indent 2"/>
    <w:basedOn w:val="8"/>
    <w:qFormat/>
    <w:uiPriority w:val="99"/>
    <w:pPr>
      <w:ind w:left="420"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99"/>
    <w:rPr>
      <w:rFonts w:cs="Times New Roman"/>
    </w:rPr>
  </w:style>
  <w:style w:type="paragraph" w:customStyle="1" w:styleId="22">
    <w:name w:val="002标题"/>
    <w:basedOn w:val="1"/>
    <w:qFormat/>
    <w:uiPriority w:val="99"/>
    <w:pPr>
      <w:jc w:val="center"/>
    </w:pPr>
    <w:rPr>
      <w:sz w:val="30"/>
      <w:szCs w:val="30"/>
    </w:rPr>
  </w:style>
  <w:style w:type="paragraph" w:customStyle="1" w:styleId="23">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24">
    <w:name w:val="Table Paragraph"/>
    <w:basedOn w:val="1"/>
    <w:qFormat/>
    <w:uiPriority w:val="1"/>
    <w:rPr>
      <w:rFonts w:ascii="宋体" w:hAnsi="宋体" w:cs="宋体"/>
      <w:lang w:val="zh-CN" w:bidi="zh-CN"/>
    </w:rPr>
  </w:style>
  <w:style w:type="paragraph" w:customStyle="1" w:styleId="25">
    <w:name w:val="02标题二"/>
    <w:basedOn w:val="23"/>
    <w:qFormat/>
    <w:uiPriority w:val="0"/>
    <w:pPr>
      <w:ind w:firstLine="562" w:firstLineChars="200"/>
    </w:pPr>
    <w:rPr>
      <w:rFonts w:cs="华文仿宋"/>
      <w:b/>
      <w:bCs/>
      <w:sz w:val="28"/>
      <w:szCs w:val="28"/>
    </w:rPr>
  </w:style>
  <w:style w:type="paragraph" w:customStyle="1" w:styleId="26">
    <w:name w:val="Default"/>
    <w:basedOn w:val="27"/>
    <w:qFormat/>
    <w:uiPriority w:val="0"/>
    <w:pPr>
      <w:autoSpaceDE w:val="0"/>
      <w:autoSpaceDN w:val="0"/>
    </w:pPr>
    <w:rPr>
      <w:rFonts w:ascii="宋体" w:eastAsia="宋体" w:cs="宋体"/>
      <w:color w:val="000000"/>
      <w:sz w:val="24"/>
    </w:rPr>
  </w:style>
  <w:style w:type="paragraph" w:customStyle="1" w:styleId="27">
    <w:name w:val="我的格式"/>
    <w:basedOn w:val="1"/>
    <w:qFormat/>
    <w:uiPriority w:val="0"/>
    <w:pPr>
      <w:adjustRightInd w:val="0"/>
      <w:snapToGrid w:val="0"/>
      <w:jc w:val="center"/>
    </w:pPr>
    <w:rPr>
      <w:rFonts w:eastAsia="Times New Roman"/>
    </w:rPr>
  </w:style>
  <w:style w:type="paragraph" w:customStyle="1" w:styleId="28">
    <w:name w:val="样式 ！正文 + 首行缩进:  2 字符"/>
    <w:basedOn w:val="1"/>
    <w:qFormat/>
    <w:uiPriority w:val="0"/>
    <w:pPr>
      <w:ind w:firstLine="480" w:firstLineChars="200"/>
    </w:pPr>
    <w:rPr>
      <w:rFonts w:ascii="Arial" w:hAnsi="Arial" w:cs="宋体"/>
      <w:szCs w:val="20"/>
    </w:rPr>
  </w:style>
  <w:style w:type="paragraph" w:customStyle="1" w:styleId="29">
    <w:name w:val="GW-正文"/>
    <w:basedOn w:val="1"/>
    <w:qFormat/>
    <w:uiPriority w:val="0"/>
    <w:pPr>
      <w:spacing w:line="360" w:lineRule="auto"/>
      <w:ind w:firstLine="200" w:firstLineChars="200"/>
      <w:contextualSpacing/>
    </w:pPr>
  </w:style>
  <w:style w:type="character" w:customStyle="1" w:styleId="30">
    <w:name w:val="标题 1 Char"/>
    <w:basedOn w:val="20"/>
    <w:link w:val="3"/>
    <w:qFormat/>
    <w:uiPriority w:val="0"/>
    <w:rPr>
      <w:rFonts w:ascii="Calibri" w:hAnsi="Calibri" w:eastAsia="宋体" w:cs="Times New Roman"/>
      <w:b/>
      <w:bCs/>
      <w:kern w:val="44"/>
      <w:sz w:val="44"/>
      <w:szCs w:val="44"/>
    </w:rPr>
  </w:style>
  <w:style w:type="character" w:customStyle="1" w:styleId="31">
    <w:name w:val="纯文本 Char"/>
    <w:basedOn w:val="20"/>
    <w:link w:val="11"/>
    <w:qFormat/>
    <w:uiPriority w:val="0"/>
    <w:rPr>
      <w:rFonts w:ascii="宋体" w:hAnsi="Courier New" w:eastAsia="宋体" w:cs="Times New Roman"/>
      <w:kern w:val="2"/>
      <w:sz w:val="21"/>
    </w:rPr>
  </w:style>
  <w:style w:type="paragraph" w:customStyle="1" w:styleId="32">
    <w:name w:val="目录"/>
    <w:basedOn w:val="1"/>
    <w:qFormat/>
    <w:uiPriority w:val="0"/>
    <w:pPr>
      <w:widowControl/>
      <w:jc w:val="center"/>
    </w:pPr>
    <w:rPr>
      <w:rFonts w:ascii="宋体" w:hAnsi="Times New Roman"/>
      <w:b/>
      <w:kern w:val="0"/>
      <w:sz w:val="36"/>
      <w:szCs w:val="20"/>
    </w:rPr>
  </w:style>
  <w:style w:type="paragraph" w:customStyle="1" w:styleId="33">
    <w:name w:val="正文文本1"/>
    <w:basedOn w:val="1"/>
    <w:qFormat/>
    <w:uiPriority w:val="0"/>
    <w:pPr>
      <w:shd w:val="clear" w:color="auto" w:fill="FFFFFF"/>
      <w:spacing w:line="434" w:lineRule="auto"/>
      <w:ind w:firstLine="400"/>
    </w:pPr>
    <w:rPr>
      <w:rFonts w:ascii="黑体" w:hAnsi="黑体" w:eastAsia="黑体" w:cs="黑体"/>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shenduxitong</Company>
  <Pages>35</Pages>
  <Words>3135</Words>
  <Characters>17876</Characters>
  <Lines>148</Lines>
  <Paragraphs>41</Paragraphs>
  <TotalTime>29</TotalTime>
  <ScaleCrop>false</ScaleCrop>
  <LinksUpToDate>false</LinksUpToDate>
  <CharactersWithSpaces>20970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2023-09-24T03:43:00Z</dcterms:created>
  <dc:creator>溯源</dc:creator>
  <cp:lastModifiedBy>lenovo</cp:lastModifiedBy>
  <dcterms:modified xsi:type="dcterms:W3CDTF">2023-10-11T07:26:40Z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EC54F3A617494AD2B97BD0CABCE6C00C_13</vt:lpwstr>
  </property>
</Properties>
</file>